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C3" w:rsidRPr="00332849" w:rsidRDefault="00D574C3" w:rsidP="00AE2B8B">
      <w:pPr>
        <w:spacing w:after="200"/>
        <w:ind w:left="2000" w:hanging="1820"/>
        <w:rPr>
          <w:rFonts w:ascii="Times Roman" w:hAnsi="Times Roman" w:cs="Times Roman"/>
          <w:b/>
          <w:bCs/>
          <w:color w:val="auto"/>
        </w:rPr>
      </w:pPr>
      <w:r w:rsidRPr="00332849">
        <w:rPr>
          <w:rFonts w:ascii="Times Roman" w:hAnsi="Times Roman" w:cs="Times Roman"/>
          <w:b/>
          <w:bCs/>
          <w:color w:val="auto"/>
        </w:rPr>
        <w:t>3359-60-04     Fees</w:t>
      </w:r>
      <w:r w:rsidR="008A1931">
        <w:rPr>
          <w:rFonts w:ascii="Times Roman" w:hAnsi="Times Roman" w:cs="Times Roman"/>
          <w:b/>
          <w:bCs/>
          <w:color w:val="auto"/>
        </w:rPr>
        <w:t>.</w:t>
      </w:r>
    </w:p>
    <w:p w:rsidR="00AE2B8B" w:rsidRPr="00332849" w:rsidRDefault="00AE2B8B">
      <w:pPr>
        <w:spacing w:after="200"/>
        <w:ind w:left="2000" w:hanging="1600"/>
        <w:rPr>
          <w:rFonts w:ascii="Times Roman" w:hAnsi="Times Roman" w:cs="Times Roman"/>
          <w:color w:val="auto"/>
        </w:rPr>
      </w:pPr>
    </w:p>
    <w:p w:rsidR="00D574C3" w:rsidRPr="008A1931" w:rsidRDefault="00D574C3" w:rsidP="0036510E">
      <w:pPr>
        <w:spacing w:after="200"/>
        <w:ind w:left="806" w:hanging="504"/>
        <w:jc w:val="both"/>
        <w:rPr>
          <w:rFonts w:ascii="Times Roman" w:hAnsi="Times Roman" w:cs="Times Roman"/>
          <w:color w:val="auto"/>
        </w:rPr>
      </w:pPr>
      <w:r w:rsidRPr="00332849">
        <w:rPr>
          <w:rFonts w:ascii="Times Roman" w:hAnsi="Times Roman" w:cs="Times Roman"/>
          <w:color w:val="auto"/>
        </w:rPr>
        <w:t xml:space="preserve">(A) </w:t>
      </w:r>
      <w:r w:rsidRPr="008A1931">
        <w:rPr>
          <w:rFonts w:ascii="Times Roman" w:hAnsi="Times Roman" w:cs="Times Roman"/>
          <w:color w:val="auto"/>
        </w:rPr>
        <w:t xml:space="preserve">Any and all fees are subject to change without notice, when approved by the board of trustees. Students are advised to consult the </w:t>
      </w:r>
      <w:r w:rsidR="008A1931" w:rsidRPr="008A1931">
        <w:rPr>
          <w:rFonts w:ascii="Times Roman" w:hAnsi="Times Roman" w:cs="Times Roman"/>
          <w:color w:val="auto"/>
        </w:rPr>
        <w:t>university's website a</w:t>
      </w:r>
      <w:r w:rsidRPr="008A1931">
        <w:rPr>
          <w:rFonts w:ascii="Times Roman" w:hAnsi="Times Roman" w:cs="Times Roman"/>
          <w:color w:val="auto"/>
        </w:rPr>
        <w:t>nd any other university document that may apply to fees and related charges.</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(B) Despite the willingness of taxpayers and generous friends of the university to help support higher education, some portion of this total expense must be borne by the student.</w:t>
      </w:r>
    </w:p>
    <w:p w:rsidR="00D574C3" w:rsidRPr="008A1931" w:rsidRDefault="00D574C3" w:rsidP="0036510E">
      <w:pPr>
        <w:spacing w:after="200"/>
        <w:ind w:left="806" w:hanging="504"/>
        <w:jc w:val="both"/>
        <w:rPr>
          <w:rFonts w:ascii="Times Roman" w:hAnsi="Times Roman" w:cs="Times Roman"/>
          <w:color w:val="auto"/>
        </w:rPr>
      </w:pPr>
      <w:r w:rsidRPr="008A1931">
        <w:rPr>
          <w:rFonts w:ascii="Times Roman" w:hAnsi="Times Roman" w:cs="Times Roman"/>
          <w:color w:val="auto"/>
        </w:rPr>
        <w:t>(C) The university's website lists all current comprehensive and individual course fees for students and prospective students at the university who are studying for credit and noncredit in all areas of instruction. Included also are the additional expenses required for special academic services available to a student such as private music lessons, thesis-binding, etc.</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(D) It is the responsibility of the student to know the correct amount of all fees including the non-Ohio resident surcharge.</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 xml:space="preserve">(E) In any question concerning fees, surcharge or residence, it is the responsibility of the student, parents, or court appointed guardian, to furnish such proof as may be required by the </w:t>
      </w:r>
      <w:proofErr w:type="gramStart"/>
      <w:r w:rsidRPr="008A1931">
        <w:rPr>
          <w:rFonts w:ascii="Times Roman" w:hAnsi="Times Roman" w:cs="Times Roman"/>
          <w:color w:val="auto"/>
        </w:rPr>
        <w:t>university</w:t>
      </w:r>
      <w:proofErr w:type="gramEnd"/>
      <w:r w:rsidRPr="008A1931">
        <w:rPr>
          <w:rFonts w:ascii="Times Roman" w:hAnsi="Times Roman" w:cs="Times Roman"/>
          <w:color w:val="auto"/>
        </w:rPr>
        <w:t xml:space="preserve"> of Akron. A student who is in doubt about residency status should consult with the university registrar.</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 xml:space="preserve">(F) It is the responsibility of the registrar to assess fees and surcharges at the time of registration; information given by the student at that time is used in the assessment. Each registration is later </w:t>
      </w:r>
      <w:r w:rsidR="00283799" w:rsidRPr="008A1931">
        <w:rPr>
          <w:rFonts w:ascii="Times Roman" w:hAnsi="Times Roman" w:cs="Times Roman"/>
          <w:color w:val="auto"/>
        </w:rPr>
        <w:t xml:space="preserve">reviewed by the office of </w:t>
      </w:r>
      <w:r w:rsidR="004E46F7" w:rsidRPr="008A1931">
        <w:rPr>
          <w:rFonts w:ascii="Times Roman" w:hAnsi="Times Roman" w:cs="Times Roman"/>
          <w:color w:val="auto"/>
        </w:rPr>
        <w:t xml:space="preserve">student accounts/university </w:t>
      </w:r>
      <w:r w:rsidR="00283799" w:rsidRPr="008A1931">
        <w:rPr>
          <w:rFonts w:ascii="Times Roman" w:hAnsi="Times Roman" w:cs="Times Roman"/>
          <w:color w:val="auto"/>
        </w:rPr>
        <w:t xml:space="preserve">bursar </w:t>
      </w:r>
      <w:r w:rsidRPr="008A1931">
        <w:rPr>
          <w:rFonts w:ascii="Times Roman" w:hAnsi="Times Roman" w:cs="Times Roman"/>
          <w:color w:val="auto"/>
        </w:rPr>
        <w:t>and appropriate additional charges or refunds will be made.</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(G) All fees and surcharges are due at the time of registration or on the specified fee payment deadline. The status of the student as of the opening day of the semester or session for which registered, will determine the final, correct amount of fees and surcharges.</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(H) Room and board.</w:t>
      </w:r>
    </w:p>
    <w:p w:rsidR="008A1931" w:rsidRPr="008A1931" w:rsidRDefault="00D574C3" w:rsidP="0036510E">
      <w:pPr>
        <w:spacing w:after="200"/>
        <w:ind w:left="1210" w:hanging="504"/>
        <w:jc w:val="both"/>
        <w:rPr>
          <w:rFonts w:ascii="Times Roman" w:hAnsi="Times Roman" w:cs="Times Roman"/>
          <w:color w:val="auto"/>
        </w:rPr>
      </w:pPr>
      <w:r w:rsidRPr="008A1931">
        <w:rPr>
          <w:rFonts w:ascii="Times Roman" w:hAnsi="Times Roman" w:cs="Times Roman"/>
          <w:color w:val="auto"/>
        </w:rPr>
        <w:t xml:space="preserve">(1) Residence hall facilities are available for the housing of a limited number of undergraduate students. The current cost of housing accommodations and food service is outlined on the university's website.  All students who live in the residence halls, except those living in the apartments in "Exchange Street Residence Hall" with full kitchens, are required to </w:t>
      </w:r>
      <w:r w:rsidR="00F93C6B" w:rsidRPr="008A1931">
        <w:rPr>
          <w:rFonts w:ascii="Times Roman" w:hAnsi="Times Roman" w:cs="Times Roman"/>
          <w:color w:val="auto"/>
        </w:rPr>
        <w:t>purchase</w:t>
      </w:r>
      <w:r w:rsidRPr="008A1931">
        <w:rPr>
          <w:rFonts w:ascii="Times Roman" w:hAnsi="Times Roman" w:cs="Times Roman"/>
          <w:color w:val="auto"/>
        </w:rPr>
        <w:t xml:space="preserve"> a residential dining plan.  </w:t>
      </w:r>
    </w:p>
    <w:p w:rsidR="00CD57B1" w:rsidRDefault="00D574C3" w:rsidP="008A1931">
      <w:pPr>
        <w:spacing w:after="200"/>
        <w:ind w:left="1210" w:hanging="504"/>
        <w:jc w:val="both"/>
        <w:rPr>
          <w:rFonts w:ascii="Times Roman" w:hAnsi="Times Roman" w:cs="Times Roman"/>
          <w:color w:val="auto"/>
        </w:rPr>
      </w:pPr>
      <w:r w:rsidRPr="008A1931">
        <w:rPr>
          <w:rFonts w:ascii="Times Roman" w:hAnsi="Times Roman" w:cs="Times Roman"/>
          <w:color w:val="auto"/>
        </w:rPr>
        <w:t>(2) Students living off campus may participate in the</w:t>
      </w:r>
      <w:r w:rsidR="00482079" w:rsidRPr="008A1931">
        <w:rPr>
          <w:rFonts w:ascii="Times Roman" w:hAnsi="Times Roman" w:cs="Times Roman"/>
          <w:color w:val="auto"/>
        </w:rPr>
        <w:t xml:space="preserve"> </w:t>
      </w:r>
      <w:r w:rsidRPr="008A1931">
        <w:rPr>
          <w:rFonts w:ascii="Times Roman" w:hAnsi="Times Roman" w:cs="Times Roman"/>
          <w:color w:val="auto"/>
        </w:rPr>
        <w:t xml:space="preserve">dining plan program by purchasing a commuter plan. </w:t>
      </w:r>
    </w:p>
    <w:p w:rsidR="00D574C3" w:rsidRPr="008A1931" w:rsidRDefault="00D574C3" w:rsidP="007D7335">
      <w:pPr>
        <w:spacing w:after="200"/>
        <w:ind w:left="1210" w:hanging="850"/>
        <w:jc w:val="both"/>
        <w:rPr>
          <w:rFonts w:ascii="Times Roman" w:hAnsi="Times Roman" w:cs="Times Roman"/>
          <w:strike/>
          <w:color w:val="auto"/>
        </w:rPr>
      </w:pPr>
      <w:r w:rsidRPr="008A1931">
        <w:rPr>
          <w:rFonts w:ascii="Times Roman" w:hAnsi="Times Roman" w:cs="Times Roman"/>
          <w:color w:val="auto"/>
        </w:rPr>
        <w:t>(I) Veterans'</w:t>
      </w:r>
      <w:r w:rsidRPr="00275138">
        <w:rPr>
          <w:rFonts w:ascii="Times Roman" w:hAnsi="Times Roman" w:cs="Times Roman"/>
          <w:color w:val="auto"/>
        </w:rPr>
        <w:t xml:space="preserve"> </w:t>
      </w:r>
      <w:r w:rsidR="00283799" w:rsidRPr="00275138">
        <w:rPr>
          <w:rFonts w:ascii="Times Roman" w:hAnsi="Times Roman" w:cs="Times Roman"/>
          <w:color w:val="auto"/>
        </w:rPr>
        <w:t xml:space="preserve">fees. </w:t>
      </w:r>
    </w:p>
    <w:p w:rsidR="00D574C3" w:rsidRDefault="00D574C3" w:rsidP="00F11D42">
      <w:pPr>
        <w:spacing w:after="200"/>
        <w:ind w:left="1200" w:hanging="500"/>
        <w:jc w:val="both"/>
        <w:rPr>
          <w:rFonts w:ascii="Times Roman" w:hAnsi="Times Roman" w:cs="Times Roman"/>
          <w:color w:val="auto"/>
        </w:rPr>
      </w:pPr>
      <w:r w:rsidRPr="008A1931">
        <w:rPr>
          <w:rFonts w:ascii="Times Roman" w:hAnsi="Times Roman" w:cs="Times Roman"/>
          <w:color w:val="auto"/>
        </w:rPr>
        <w:lastRenderedPageBreak/>
        <w:t>(1) A disabled veteran who is eligible for admission to the university may register for courses without payment of fees if the disabled veteran has been authorized for training by the veterans' administration.</w:t>
      </w:r>
    </w:p>
    <w:p w:rsidR="00CD57B1" w:rsidRDefault="00CD57B1" w:rsidP="00F11D42">
      <w:pPr>
        <w:spacing w:after="200"/>
        <w:ind w:left="1200" w:hanging="500"/>
        <w:jc w:val="both"/>
        <w:rPr>
          <w:rFonts w:ascii="Times Roman" w:hAnsi="Times Roman" w:cs="Times Roman"/>
          <w:color w:val="auto"/>
        </w:rPr>
      </w:pPr>
    </w:p>
    <w:p w:rsidR="00D574C3" w:rsidRPr="008A1931" w:rsidRDefault="00D574C3" w:rsidP="00F11D42">
      <w:pPr>
        <w:spacing w:after="200"/>
        <w:ind w:left="1200" w:hanging="500"/>
        <w:jc w:val="both"/>
        <w:rPr>
          <w:rFonts w:ascii="Times Roman" w:hAnsi="Times Roman" w:cs="Times Roman"/>
          <w:color w:val="auto"/>
        </w:rPr>
      </w:pPr>
      <w:r w:rsidRPr="008A1931">
        <w:rPr>
          <w:rFonts w:ascii="Times Roman" w:hAnsi="Times Roman" w:cs="Times Roman"/>
          <w:color w:val="auto"/>
        </w:rPr>
        <w:t>(2) If the disabled veteran has not been authorized, payment of all fees is required. However, the university will return to the veteran the payment made when the official authorization is received.</w:t>
      </w:r>
    </w:p>
    <w:p w:rsidR="00D574C3" w:rsidRPr="008A1931" w:rsidRDefault="00D574C3" w:rsidP="00F11D42">
      <w:pPr>
        <w:spacing w:after="200"/>
        <w:ind w:left="1200" w:hanging="500"/>
        <w:jc w:val="both"/>
        <w:rPr>
          <w:rFonts w:ascii="Times Roman" w:hAnsi="Times Roman" w:cs="Times Roman"/>
          <w:color w:val="auto"/>
        </w:rPr>
      </w:pPr>
      <w:r w:rsidRPr="008A1931">
        <w:rPr>
          <w:rFonts w:ascii="Times Roman" w:hAnsi="Times Roman" w:cs="Times Roman"/>
          <w:color w:val="auto"/>
        </w:rPr>
        <w:t>(3) A non-disabled veteran must pay the fees at the time of registration. The non-disabled veteran will receive direct payment from the V.A. after enrollment has been certified under the provisions of USC Title 38.</w:t>
      </w:r>
    </w:p>
    <w:p w:rsidR="00D574C3" w:rsidRPr="008A1931" w:rsidRDefault="00D574C3" w:rsidP="0036510E">
      <w:pPr>
        <w:spacing w:after="200"/>
        <w:ind w:left="1210" w:hanging="504"/>
        <w:jc w:val="both"/>
        <w:rPr>
          <w:rFonts w:ascii="Times Roman" w:hAnsi="Times Roman" w:cs="Times Roman"/>
          <w:color w:val="auto"/>
        </w:rPr>
      </w:pPr>
      <w:r w:rsidRPr="008A1931">
        <w:rPr>
          <w:rFonts w:ascii="Times Roman" w:hAnsi="Times Roman" w:cs="Times Roman"/>
          <w:color w:val="auto"/>
        </w:rPr>
        <w:t xml:space="preserve">(4) An Ohio </w:t>
      </w:r>
      <w:proofErr w:type="gramStart"/>
      <w:r w:rsidRPr="008A1931">
        <w:rPr>
          <w:rFonts w:ascii="Times Roman" w:hAnsi="Times Roman" w:cs="Times Roman"/>
          <w:color w:val="auto"/>
        </w:rPr>
        <w:t>veterans</w:t>
      </w:r>
      <w:proofErr w:type="gramEnd"/>
      <w:r w:rsidRPr="008A1931">
        <w:rPr>
          <w:rFonts w:ascii="Times Roman" w:hAnsi="Times Roman" w:cs="Times Roman"/>
          <w:color w:val="auto"/>
        </w:rPr>
        <w:t xml:space="preserve"> bonus commission recipient may arrange with the accounts receivable office to have the Ohio bonus commission billed directly for tuition charges only.</w:t>
      </w:r>
    </w:p>
    <w:p w:rsidR="00D574C3" w:rsidRPr="008A1931" w:rsidRDefault="00D574C3" w:rsidP="00F11D42">
      <w:pPr>
        <w:spacing w:after="200"/>
        <w:ind w:left="1200" w:hanging="500"/>
        <w:jc w:val="both"/>
        <w:rPr>
          <w:rFonts w:ascii="Times Roman" w:hAnsi="Times Roman" w:cs="Times Roman"/>
          <w:color w:val="auto"/>
        </w:rPr>
      </w:pPr>
      <w:r w:rsidRPr="008A1931">
        <w:rPr>
          <w:rFonts w:ascii="Times Roman" w:hAnsi="Times Roman" w:cs="Times Roman"/>
          <w:color w:val="auto"/>
        </w:rPr>
        <w:t>(5) Dependents of veterans covered under other provisions of USC Title 38 must pay at the time of registration. The V.A. will make direct payment to the eligible payee.</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(J) Auditors. The fees for an auditor in any course or group of courses are the same as if taken for credit.</w:t>
      </w:r>
    </w:p>
    <w:p w:rsidR="00D574C3" w:rsidRPr="008A1931" w:rsidRDefault="00D574C3" w:rsidP="00F11D42">
      <w:pPr>
        <w:spacing w:after="200"/>
        <w:ind w:left="800" w:hanging="500"/>
        <w:jc w:val="both"/>
        <w:rPr>
          <w:rFonts w:ascii="Times Roman" w:hAnsi="Times Roman" w:cs="Times Roman"/>
          <w:color w:val="auto"/>
        </w:rPr>
      </w:pPr>
      <w:r w:rsidRPr="008A1931">
        <w:rPr>
          <w:rFonts w:ascii="Times Roman" w:hAnsi="Times Roman" w:cs="Times Roman"/>
          <w:color w:val="auto"/>
        </w:rPr>
        <w:t xml:space="preserve">(K) Student health and accident insurance. Student health and accident insurance designed specifically for a student of the </w:t>
      </w:r>
      <w:proofErr w:type="gramStart"/>
      <w:r w:rsidRPr="008A1931">
        <w:rPr>
          <w:rFonts w:ascii="Times Roman" w:hAnsi="Times Roman" w:cs="Times Roman"/>
          <w:color w:val="auto"/>
        </w:rPr>
        <w:t>university</w:t>
      </w:r>
      <w:proofErr w:type="gramEnd"/>
      <w:r w:rsidRPr="008A1931">
        <w:rPr>
          <w:rFonts w:ascii="Times Roman" w:hAnsi="Times Roman" w:cs="Times Roman"/>
          <w:color w:val="auto"/>
        </w:rPr>
        <w:t xml:space="preserve"> of Akron is required of all residence hall students and all international students except those who present proof that they already have similar coverage. Other students carrying nine or more credits, graduate students carrying six or more credits may purchase this insurance, at the same annual individual rate, through the student health services office.</w:t>
      </w:r>
    </w:p>
    <w:p w:rsidR="00D936EB" w:rsidRDefault="00D936EB" w:rsidP="00A53D40">
      <w:pPr>
        <w:widowControl/>
        <w:ind w:left="270"/>
        <w:rPr>
          <w:rFonts w:ascii="Times New Roman" w:hAnsi="Times New Roman" w:cs="Times New Roman"/>
          <w:color w:val="auto"/>
        </w:rPr>
      </w:pPr>
    </w:p>
    <w:p w:rsidR="00A53D40" w:rsidRDefault="00A53D40" w:rsidP="00A53D40">
      <w:pPr>
        <w:widowControl/>
        <w:ind w:left="270"/>
        <w:rPr>
          <w:rFonts w:ascii="Times New Roman" w:hAnsi="Times New Roman" w:cs="Times New Roman"/>
          <w:color w:val="auto"/>
        </w:rPr>
      </w:pPr>
      <w:r w:rsidRPr="00356A89">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8A1931">
        <w:rPr>
          <w:rFonts w:ascii="Times New Roman" w:hAnsi="Times New Roman" w:cs="Times New Roman"/>
          <w:color w:val="auto"/>
        </w:rPr>
        <w:t>05/04/2017</w:t>
      </w:r>
    </w:p>
    <w:p w:rsidR="008A1931" w:rsidRPr="008A1931" w:rsidRDefault="008A1931" w:rsidP="00A53D40">
      <w:pPr>
        <w:widowControl/>
        <w:ind w:left="270"/>
        <w:rPr>
          <w:rFonts w:ascii="Times New Roman" w:hAnsi="Times New Roman" w:cs="Times New Roman"/>
          <w:color w:val="auto"/>
        </w:rPr>
      </w:pPr>
    </w:p>
    <w:p w:rsidR="00A53D40" w:rsidRPr="00356A89" w:rsidRDefault="00A53D40" w:rsidP="00A53D40">
      <w:pPr>
        <w:widowControl/>
        <w:ind w:left="270"/>
        <w:rPr>
          <w:rFonts w:ascii="Times New Roman" w:hAnsi="Times New Roman" w:cs="Times New Roman"/>
          <w:color w:val="auto"/>
          <w:u w:val="single"/>
        </w:rPr>
      </w:pPr>
      <w:r w:rsidRPr="00356A89">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A53D40" w:rsidRPr="00356A89" w:rsidRDefault="00A53D40" w:rsidP="00490150">
      <w:pPr>
        <w:widowControl/>
        <w:ind w:left="2880" w:firstLine="720"/>
        <w:rPr>
          <w:rFonts w:ascii="Times New Roman" w:hAnsi="Times New Roman" w:cs="Times New Roman"/>
          <w:color w:val="auto"/>
        </w:rPr>
      </w:pPr>
      <w:r>
        <w:rPr>
          <w:rFonts w:ascii="Times New Roman" w:hAnsi="Times New Roman" w:cs="Times New Roman"/>
          <w:color w:val="auto"/>
        </w:rPr>
        <w:t>M. Celeste Cook</w:t>
      </w:r>
    </w:p>
    <w:p w:rsidR="00A53D40" w:rsidRPr="00356A89" w:rsidRDefault="00A53D40" w:rsidP="00490150">
      <w:pPr>
        <w:widowControl/>
        <w:ind w:left="2880" w:firstLine="720"/>
        <w:rPr>
          <w:rFonts w:ascii="Times New Roman" w:hAnsi="Times New Roman" w:cs="Times New Roman"/>
          <w:color w:val="auto"/>
        </w:rPr>
      </w:pPr>
      <w:r w:rsidRPr="00356A89">
        <w:rPr>
          <w:rFonts w:ascii="Times New Roman" w:hAnsi="Times New Roman" w:cs="Times New Roman"/>
          <w:color w:val="auto"/>
        </w:rPr>
        <w:t>Secretary</w:t>
      </w:r>
    </w:p>
    <w:p w:rsidR="00A53D40" w:rsidRDefault="00A53D40" w:rsidP="00490150">
      <w:pPr>
        <w:widowControl/>
        <w:ind w:left="2880" w:firstLine="720"/>
        <w:rPr>
          <w:rFonts w:ascii="Times New Roman" w:hAnsi="Times New Roman" w:cs="Times New Roman"/>
          <w:color w:val="auto"/>
        </w:rPr>
      </w:pPr>
      <w:r w:rsidRPr="00356A89">
        <w:rPr>
          <w:rFonts w:ascii="Times New Roman" w:hAnsi="Times New Roman" w:cs="Times New Roman"/>
          <w:color w:val="auto"/>
        </w:rPr>
        <w:t>Board of Trustees</w:t>
      </w:r>
    </w:p>
    <w:p w:rsidR="00A53D40" w:rsidRPr="00356A89" w:rsidRDefault="00A53D40" w:rsidP="00A53D40">
      <w:pPr>
        <w:widowControl/>
        <w:ind w:left="3870" w:firstLine="450"/>
        <w:rPr>
          <w:rFonts w:ascii="Times New Roman" w:hAnsi="Times New Roman" w:cs="Times New Roman"/>
          <w:color w:val="auto"/>
        </w:rPr>
      </w:pPr>
    </w:p>
    <w:p w:rsidR="00A53D40" w:rsidRDefault="00A53D40" w:rsidP="00A53D40">
      <w:pPr>
        <w:widowControl/>
        <w:ind w:left="270"/>
        <w:rPr>
          <w:rFonts w:ascii="Times New Roman" w:hAnsi="Times New Roman" w:cs="Times New Roman"/>
          <w:color w:val="auto"/>
        </w:rPr>
      </w:pPr>
      <w:r w:rsidRPr="00356A8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sidRPr="00356A89">
        <w:rPr>
          <w:rFonts w:ascii="Times New Roman" w:hAnsi="Times New Roman" w:cs="Times New Roman"/>
          <w:color w:val="auto"/>
        </w:rPr>
        <w:t>111.15</w:t>
      </w:r>
    </w:p>
    <w:p w:rsidR="00A53D40" w:rsidRPr="00356A89" w:rsidRDefault="00A53D40" w:rsidP="00A53D40">
      <w:pPr>
        <w:widowControl/>
        <w:ind w:left="270"/>
        <w:rPr>
          <w:rFonts w:ascii="Times New Roman" w:hAnsi="Times New Roman" w:cs="Times New Roman"/>
          <w:color w:val="auto"/>
        </w:rPr>
      </w:pPr>
    </w:p>
    <w:p w:rsidR="00A53D40" w:rsidRDefault="00A53D40" w:rsidP="00A53D40">
      <w:pPr>
        <w:widowControl/>
        <w:ind w:left="270"/>
        <w:rPr>
          <w:rFonts w:ascii="Times New Roman" w:hAnsi="Times New Roman" w:cs="Times New Roman"/>
          <w:color w:val="auto"/>
        </w:rPr>
      </w:pPr>
      <w:r w:rsidRPr="00356A8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sidRPr="00356A89">
        <w:rPr>
          <w:rFonts w:ascii="Times New Roman" w:hAnsi="Times New Roman" w:cs="Times New Roman"/>
          <w:color w:val="auto"/>
        </w:rPr>
        <w:t>3359</w:t>
      </w:r>
    </w:p>
    <w:p w:rsidR="00A53D40" w:rsidRPr="00356A89" w:rsidRDefault="00A53D40" w:rsidP="00A53D40">
      <w:pPr>
        <w:widowControl/>
        <w:ind w:left="270"/>
        <w:rPr>
          <w:rFonts w:ascii="Times New Roman" w:hAnsi="Times New Roman" w:cs="Times New Roman"/>
          <w:color w:val="auto"/>
        </w:rPr>
      </w:pPr>
    </w:p>
    <w:p w:rsidR="00D936EB" w:rsidRDefault="00A53D40" w:rsidP="00D936EB">
      <w:pPr>
        <w:widowControl/>
        <w:ind w:left="270"/>
        <w:rPr>
          <w:rFonts w:ascii="Times New Roman" w:hAnsi="Times New Roman" w:cs="Times New Roman"/>
          <w:color w:val="auto"/>
        </w:rPr>
      </w:pPr>
      <w:r w:rsidRPr="00356A8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56A89">
        <w:rPr>
          <w:rFonts w:ascii="Times New Roman" w:hAnsi="Times New Roman" w:cs="Times New Roman"/>
          <w:color w:val="auto"/>
        </w:rPr>
        <w:t>3359</w:t>
      </w:r>
    </w:p>
    <w:p w:rsidR="00CD57B1" w:rsidRDefault="00CD57B1" w:rsidP="00490150">
      <w:pPr>
        <w:widowControl/>
        <w:ind w:left="3600" w:hanging="3330"/>
        <w:rPr>
          <w:rFonts w:ascii="Times New Roman" w:hAnsi="Times New Roman" w:cs="Times New Roman"/>
          <w:color w:val="auto"/>
        </w:rPr>
      </w:pPr>
    </w:p>
    <w:p w:rsidR="00A53D40" w:rsidRDefault="00A53D40" w:rsidP="00C6705D">
      <w:pPr>
        <w:widowControl/>
        <w:ind w:left="3600" w:hanging="3330"/>
        <w:rPr>
          <w:rFonts w:ascii="Times Roman" w:hAnsi="Times Roman" w:cs="Times Roman"/>
        </w:rPr>
      </w:pPr>
      <w:r w:rsidRPr="00356A89">
        <w:rPr>
          <w:rFonts w:ascii="Times New Roman" w:hAnsi="Times New Roman" w:cs="Times New Roman"/>
          <w:color w:val="auto"/>
        </w:rPr>
        <w:t xml:space="preserve">Prior Effective Dates: </w:t>
      </w:r>
      <w:r w:rsidR="00490150">
        <w:rPr>
          <w:rFonts w:ascii="Times New Roman" w:hAnsi="Times New Roman" w:cs="Times New Roman"/>
          <w:color w:val="auto"/>
        </w:rPr>
        <w:tab/>
      </w:r>
      <w:r w:rsidRPr="00356A89">
        <w:rPr>
          <w:rFonts w:ascii="Times New Roman" w:hAnsi="Times New Roman" w:cs="Times New Roman"/>
          <w:color w:val="auto"/>
        </w:rPr>
        <w:t>Prior to 11/04/77, 08/30/79, 01/30/81, 05/15/82,</w:t>
      </w:r>
      <w:r>
        <w:rPr>
          <w:rFonts w:ascii="Times New Roman" w:hAnsi="Times New Roman" w:cs="Times New Roman"/>
          <w:color w:val="auto"/>
        </w:rPr>
        <w:t xml:space="preserve"> </w:t>
      </w:r>
      <w:r w:rsidRPr="00356A89">
        <w:rPr>
          <w:rFonts w:ascii="Times New Roman" w:hAnsi="Times New Roman" w:cs="Times New Roman"/>
          <w:color w:val="auto"/>
        </w:rPr>
        <w:t>01/30/87, 05/22/91, 06/25/07</w:t>
      </w:r>
      <w:r>
        <w:rPr>
          <w:rFonts w:ascii="Times New Roman" w:hAnsi="Times New Roman" w:cs="Times New Roman"/>
          <w:color w:val="auto"/>
        </w:rPr>
        <w:t>,</w:t>
      </w:r>
      <w:r w:rsidRPr="00957868">
        <w:rPr>
          <w:rFonts w:ascii="Times New Roman" w:hAnsi="Times New Roman" w:cs="Times New Roman"/>
          <w:color w:val="auto"/>
        </w:rPr>
        <w:t xml:space="preserve"> </w:t>
      </w:r>
      <w:r w:rsidR="00B26777" w:rsidRPr="00957868">
        <w:rPr>
          <w:rFonts w:ascii="Times Roman" w:hAnsi="Times Roman" w:cs="Times Roman"/>
          <w:color w:val="auto"/>
        </w:rPr>
        <w:t>01/31/15</w:t>
      </w:r>
      <w:bookmarkStart w:id="0" w:name="_GoBack"/>
      <w:bookmarkEnd w:id="0"/>
    </w:p>
    <w:p w:rsidR="00D574C3" w:rsidRDefault="00D574C3" w:rsidP="00F11D42">
      <w:pPr>
        <w:jc w:val="both"/>
        <w:rPr>
          <w:rFonts w:ascii="Times New Roman" w:hAnsi="Times New Roman" w:cs="Times New Roman"/>
          <w:color w:val="auto"/>
        </w:rPr>
      </w:pPr>
    </w:p>
    <w:sectPr w:rsidR="00D574C3" w:rsidSect="00CD57B1">
      <w:headerReference w:type="default" r:id="rId6"/>
      <w:pgSz w:w="12242" w:h="15842"/>
      <w:pgMar w:top="2160" w:right="1800" w:bottom="864"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C3" w:rsidRDefault="00D574C3">
      <w:r>
        <w:separator/>
      </w:r>
    </w:p>
  </w:endnote>
  <w:endnote w:type="continuationSeparator" w:id="0">
    <w:p w:rsidR="00D574C3" w:rsidRDefault="00D5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C3" w:rsidRDefault="00D574C3">
      <w:r>
        <w:separator/>
      </w:r>
    </w:p>
  </w:footnote>
  <w:footnote w:type="continuationSeparator" w:id="0">
    <w:p w:rsidR="00D574C3" w:rsidRDefault="00D5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C3" w:rsidRDefault="00D574C3" w:rsidP="006639FF">
    <w:pPr>
      <w:spacing w:line="320" w:lineRule="atLeast"/>
      <w:jc w:val="right"/>
      <w:rPr>
        <w:rFonts w:ascii="Times New Roman" w:hAnsi="Times New Roman" w:cs="Times New Roman"/>
        <w:color w:val="auto"/>
      </w:rPr>
    </w:pPr>
  </w:p>
  <w:p w:rsidR="006639FF" w:rsidRPr="006639FF" w:rsidRDefault="006639FF" w:rsidP="006639FF">
    <w:pPr>
      <w:spacing w:line="320" w:lineRule="atLeast"/>
      <w:jc w:val="right"/>
      <w:rPr>
        <w:rFonts w:ascii="Times New Roman" w:hAnsi="Times New Roman" w:cs="Times New Roman"/>
        <w:color w:val="auto"/>
      </w:rPr>
    </w:pPr>
    <w:r>
      <w:rPr>
        <w:rFonts w:ascii="Times New Roman" w:hAnsi="Times New Roman" w:cs="Times New Roman"/>
        <w:color w:val="auto"/>
      </w:rPr>
      <w:t>3359-60-04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639FF">
      <w:rPr>
        <w:rFonts w:ascii="Times New Roman" w:hAnsi="Times New Roman" w:cs="Times New Roman"/>
        <w:color w:val="auto"/>
      </w:rPr>
      <w:fldChar w:fldCharType="begin"/>
    </w:r>
    <w:r w:rsidRPr="006639FF">
      <w:rPr>
        <w:rFonts w:ascii="Times New Roman" w:hAnsi="Times New Roman" w:cs="Times New Roman"/>
        <w:color w:val="auto"/>
      </w:rPr>
      <w:instrText xml:space="preserve"> PAGE   \* MERGEFORMAT </w:instrText>
    </w:r>
    <w:r w:rsidRPr="006639FF">
      <w:rPr>
        <w:rFonts w:ascii="Times New Roman" w:hAnsi="Times New Roman" w:cs="Times New Roman"/>
        <w:color w:val="auto"/>
      </w:rPr>
      <w:fldChar w:fldCharType="separate"/>
    </w:r>
    <w:r w:rsidR="00C6705D">
      <w:rPr>
        <w:rFonts w:ascii="Times New Roman" w:hAnsi="Times New Roman" w:cs="Times New Roman"/>
        <w:noProof/>
        <w:color w:val="auto"/>
      </w:rPr>
      <w:t>2</w:t>
    </w:r>
    <w:r w:rsidRPr="006639FF">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1B"/>
    <w:rsid w:val="00006AEC"/>
    <w:rsid w:val="001D4F0F"/>
    <w:rsid w:val="00217C1B"/>
    <w:rsid w:val="00275138"/>
    <w:rsid w:val="00283799"/>
    <w:rsid w:val="00315448"/>
    <w:rsid w:val="00332849"/>
    <w:rsid w:val="00343DF2"/>
    <w:rsid w:val="0036510E"/>
    <w:rsid w:val="00482079"/>
    <w:rsid w:val="00490150"/>
    <w:rsid w:val="004A2120"/>
    <w:rsid w:val="004E46F7"/>
    <w:rsid w:val="00633FED"/>
    <w:rsid w:val="006639FF"/>
    <w:rsid w:val="00715B7D"/>
    <w:rsid w:val="007D7335"/>
    <w:rsid w:val="007F13E2"/>
    <w:rsid w:val="008177AC"/>
    <w:rsid w:val="00837ABC"/>
    <w:rsid w:val="00862827"/>
    <w:rsid w:val="008A1931"/>
    <w:rsid w:val="009520BE"/>
    <w:rsid w:val="00957868"/>
    <w:rsid w:val="00A53D40"/>
    <w:rsid w:val="00A747F9"/>
    <w:rsid w:val="00AE2B8B"/>
    <w:rsid w:val="00AE324E"/>
    <w:rsid w:val="00B26777"/>
    <w:rsid w:val="00C6705D"/>
    <w:rsid w:val="00CD57B1"/>
    <w:rsid w:val="00D574C3"/>
    <w:rsid w:val="00D936EB"/>
    <w:rsid w:val="00F11D42"/>
    <w:rsid w:val="00F93C6B"/>
    <w:rsid w:val="00FA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11B3D9-7541-43A6-93BC-AE7C3543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639FF"/>
    <w:pPr>
      <w:tabs>
        <w:tab w:val="center" w:pos="4680"/>
        <w:tab w:val="right" w:pos="9360"/>
      </w:tabs>
    </w:pPr>
  </w:style>
  <w:style w:type="character" w:customStyle="1" w:styleId="HeaderChar">
    <w:name w:val="Header Char"/>
    <w:basedOn w:val="DefaultParagraphFont"/>
    <w:link w:val="Header"/>
    <w:uiPriority w:val="99"/>
    <w:rsid w:val="006639FF"/>
    <w:rPr>
      <w:rFonts w:ascii="Arial" w:hAnsi="Arial" w:cs="Arial"/>
      <w:color w:val="000000"/>
      <w:sz w:val="24"/>
      <w:szCs w:val="24"/>
    </w:rPr>
  </w:style>
  <w:style w:type="paragraph" w:styleId="Footer">
    <w:name w:val="footer"/>
    <w:basedOn w:val="Normal"/>
    <w:link w:val="FooterChar"/>
    <w:uiPriority w:val="99"/>
    <w:unhideWhenUsed/>
    <w:rsid w:val="006639FF"/>
    <w:pPr>
      <w:tabs>
        <w:tab w:val="center" w:pos="4680"/>
        <w:tab w:val="right" w:pos="9360"/>
      </w:tabs>
    </w:pPr>
  </w:style>
  <w:style w:type="character" w:customStyle="1" w:styleId="FooterChar">
    <w:name w:val="Footer Char"/>
    <w:basedOn w:val="DefaultParagraphFont"/>
    <w:link w:val="Footer"/>
    <w:uiPriority w:val="99"/>
    <w:rsid w:val="006639FF"/>
    <w:rPr>
      <w:rFonts w:ascii="Arial" w:hAnsi="Arial" w:cs="Arial"/>
      <w:color w:val="000000"/>
      <w:sz w:val="24"/>
      <w:szCs w:val="24"/>
    </w:rPr>
  </w:style>
  <w:style w:type="paragraph" w:styleId="ListParagraph">
    <w:name w:val="List Paragraph"/>
    <w:basedOn w:val="Normal"/>
    <w:uiPriority w:val="34"/>
    <w:qFormat/>
    <w:rsid w:val="00283799"/>
    <w:pPr>
      <w:ind w:left="720"/>
      <w:contextualSpacing/>
    </w:pPr>
  </w:style>
  <w:style w:type="paragraph" w:styleId="BalloonText">
    <w:name w:val="Balloon Text"/>
    <w:basedOn w:val="Normal"/>
    <w:link w:val="BalloonTextChar"/>
    <w:uiPriority w:val="99"/>
    <w:semiHidden/>
    <w:unhideWhenUsed/>
    <w:rsid w:val="007F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E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660</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22</cp:revision>
  <cp:lastPrinted>2017-05-02T20:55:00Z</cp:lastPrinted>
  <dcterms:created xsi:type="dcterms:W3CDTF">2017-03-23T13:32:00Z</dcterms:created>
  <dcterms:modified xsi:type="dcterms:W3CDTF">2017-05-04T13:03:00Z</dcterms:modified>
</cp:coreProperties>
</file>