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B2D" w:rsidRPr="00904FC7" w:rsidRDefault="00F07B2D">
      <w:pPr>
        <w:spacing w:after="200" w:line="320" w:lineRule="atLeast"/>
        <w:ind w:left="2000" w:hanging="1600"/>
        <w:rPr>
          <w:rFonts w:ascii="Times Roman" w:hAnsi="Times Roman" w:cs="Times Roman"/>
          <w:color w:val="auto"/>
        </w:rPr>
      </w:pPr>
      <w:bookmarkStart w:id="0" w:name="_GoBack"/>
      <w:bookmarkEnd w:id="0"/>
      <w:r>
        <w:rPr>
          <w:rFonts w:ascii="Times Roman" w:hAnsi="Times Roman" w:cs="Times Roman"/>
          <w:b/>
          <w:bCs/>
        </w:rPr>
        <w:t xml:space="preserve">3359-20-05     </w:t>
      </w:r>
      <w:r w:rsidRPr="00904FC7">
        <w:rPr>
          <w:rFonts w:ascii="Times Roman" w:hAnsi="Times Roman" w:cs="Times Roman"/>
          <w:b/>
          <w:bCs/>
          <w:color w:val="auto"/>
        </w:rPr>
        <w:t>Academic matters and general policies.</w:t>
      </w:r>
    </w:p>
    <w:p w:rsidR="00904FC7" w:rsidRDefault="00904FC7" w:rsidP="00904FC7">
      <w:pPr>
        <w:spacing w:after="200"/>
        <w:ind w:left="800" w:hanging="500"/>
        <w:jc w:val="both"/>
        <w:rPr>
          <w:rFonts w:ascii="Times Roman" w:hAnsi="Times Roman" w:cs="Times Roman"/>
          <w:color w:val="auto"/>
        </w:rPr>
      </w:pPr>
    </w:p>
    <w:p w:rsidR="00F07B2D" w:rsidRPr="00904FC7" w:rsidRDefault="00F07B2D" w:rsidP="00904FC7">
      <w:pPr>
        <w:spacing w:after="200"/>
        <w:ind w:left="800" w:hanging="500"/>
        <w:jc w:val="both"/>
        <w:rPr>
          <w:rFonts w:ascii="Times Roman" w:hAnsi="Times Roman" w:cs="Times Roman"/>
          <w:color w:val="auto"/>
        </w:rPr>
      </w:pPr>
      <w:r w:rsidRPr="00904FC7">
        <w:rPr>
          <w:rFonts w:ascii="Times Roman" w:hAnsi="Times Roman" w:cs="Times Roman"/>
          <w:color w:val="auto"/>
        </w:rPr>
        <w:t>(A) Unit of instruction.</w:t>
      </w:r>
    </w:p>
    <w:p w:rsidR="00F07B2D" w:rsidRPr="00904FC7" w:rsidRDefault="00F07B2D" w:rsidP="00904FC7">
      <w:pPr>
        <w:spacing w:after="200"/>
        <w:ind w:left="800"/>
        <w:jc w:val="both"/>
        <w:rPr>
          <w:rFonts w:ascii="Times Roman" w:hAnsi="Times Roman" w:cs="Times Roman"/>
          <w:color w:val="auto"/>
        </w:rPr>
      </w:pPr>
      <w:r w:rsidRPr="00904FC7">
        <w:rPr>
          <w:rFonts w:ascii="Times Roman" w:hAnsi="Times Roman" w:cs="Times Roman"/>
          <w:color w:val="auto"/>
        </w:rPr>
        <w:t>The unit of instruction is the "credit," which represents one fifty-minute period of classroom activity, or its equivalent, per week for one semester. An hour laboratory period is equivalent to one-half hour classroom instruction. Information concerning the number of credits which a student must carry to meet the requirements for veterans benefits, insurance benefits, etc., may be obtained from the university registrar.</w:t>
      </w:r>
    </w:p>
    <w:p w:rsidR="00F07B2D" w:rsidRPr="00904FC7" w:rsidRDefault="00F07B2D" w:rsidP="00904FC7">
      <w:pPr>
        <w:spacing w:after="200"/>
        <w:ind w:left="800" w:hanging="500"/>
        <w:jc w:val="both"/>
        <w:rPr>
          <w:rFonts w:ascii="Times Roman" w:hAnsi="Times Roman" w:cs="Times Roman"/>
          <w:color w:val="auto"/>
        </w:rPr>
      </w:pPr>
      <w:r w:rsidRPr="00904FC7">
        <w:rPr>
          <w:rFonts w:ascii="Times Roman" w:hAnsi="Times Roman" w:cs="Times Roman"/>
          <w:color w:val="auto"/>
        </w:rPr>
        <w:t>(B) Unit of teaching load.</w:t>
      </w:r>
    </w:p>
    <w:p w:rsidR="00F07B2D" w:rsidRPr="00904FC7" w:rsidRDefault="00F07B2D" w:rsidP="00904FC7">
      <w:pPr>
        <w:spacing w:after="200"/>
        <w:ind w:left="800"/>
        <w:jc w:val="both"/>
        <w:rPr>
          <w:rFonts w:ascii="Times Roman" w:hAnsi="Times Roman" w:cs="Times Roman"/>
          <w:color w:val="auto"/>
        </w:rPr>
      </w:pPr>
      <w:r w:rsidRPr="00904FC7">
        <w:rPr>
          <w:rFonts w:ascii="Times Roman" w:hAnsi="Times Roman" w:cs="Times Roman"/>
          <w:color w:val="auto"/>
        </w:rPr>
        <w:t>See rule 3359-20-03.2 of the Administrative Code.</w:t>
      </w:r>
    </w:p>
    <w:p w:rsidR="00F07B2D" w:rsidRPr="00904FC7" w:rsidRDefault="00F07B2D" w:rsidP="00904FC7">
      <w:pPr>
        <w:spacing w:after="200"/>
        <w:ind w:left="800" w:hanging="500"/>
        <w:jc w:val="both"/>
        <w:rPr>
          <w:rFonts w:ascii="Times Roman" w:hAnsi="Times Roman" w:cs="Times Roman"/>
          <w:color w:val="auto"/>
        </w:rPr>
      </w:pPr>
      <w:r w:rsidRPr="00904FC7">
        <w:rPr>
          <w:rFonts w:ascii="Times Roman" w:hAnsi="Times Roman" w:cs="Times Roman"/>
          <w:color w:val="auto"/>
        </w:rPr>
        <w:t>(C) Class period.</w:t>
      </w:r>
    </w:p>
    <w:p w:rsidR="00F07B2D" w:rsidRPr="00904FC7" w:rsidRDefault="00F07B2D" w:rsidP="00904FC7">
      <w:pPr>
        <w:spacing w:after="200"/>
        <w:ind w:left="800"/>
        <w:jc w:val="both"/>
        <w:rPr>
          <w:rFonts w:ascii="Times Roman" w:hAnsi="Times Roman" w:cs="Times Roman"/>
          <w:color w:val="auto"/>
        </w:rPr>
      </w:pPr>
      <w:r w:rsidRPr="00904FC7">
        <w:rPr>
          <w:rFonts w:ascii="Times Roman" w:hAnsi="Times Roman" w:cs="Times Roman"/>
          <w:color w:val="auto"/>
        </w:rPr>
        <w:t>The faculty member is responsible for knowing the scheduled time for starting and stopping classes, and is expected to adhere carefully to this schedule. Faculty members should recognize that when they fail to dismiss a class promptly, both the students and the faculty member of the next class suffer inconvenience and possible embarrassment.</w:t>
      </w:r>
    </w:p>
    <w:p w:rsidR="00F07B2D" w:rsidRPr="00904FC7" w:rsidRDefault="00F07B2D" w:rsidP="00904FC7">
      <w:pPr>
        <w:spacing w:after="200"/>
        <w:ind w:left="800" w:hanging="500"/>
        <w:jc w:val="both"/>
        <w:rPr>
          <w:rFonts w:ascii="Times Roman" w:hAnsi="Times Roman" w:cs="Times Roman"/>
          <w:color w:val="auto"/>
        </w:rPr>
      </w:pPr>
      <w:r w:rsidRPr="00904FC7">
        <w:rPr>
          <w:rFonts w:ascii="Times Roman" w:hAnsi="Times Roman" w:cs="Times Roman"/>
          <w:color w:val="auto"/>
        </w:rPr>
        <w:t>(D) Attendance (student).</w:t>
      </w:r>
    </w:p>
    <w:p w:rsidR="00F07B2D" w:rsidRPr="00904FC7" w:rsidRDefault="00F07B2D" w:rsidP="00904FC7">
      <w:pPr>
        <w:spacing w:after="200"/>
        <w:ind w:left="800"/>
        <w:jc w:val="both"/>
        <w:rPr>
          <w:rFonts w:ascii="Times Roman" w:hAnsi="Times Roman" w:cs="Times Roman"/>
          <w:color w:val="auto"/>
        </w:rPr>
      </w:pPr>
      <w:r w:rsidRPr="00904FC7">
        <w:rPr>
          <w:rFonts w:ascii="Times Roman" w:hAnsi="Times Roman" w:cs="Times Roman"/>
          <w:color w:val="auto"/>
        </w:rPr>
        <w:t>A student is expected to attend all meetings of all classes for which the student is enrolled. A student may be dropped from a course by the dean if absences are repeated and the instructor recommends this action; a student can gain readmission only with permission of both dean and instructor. A student dropped from a course receives an "F" which counts as work attempted whenever grade-point ratio calculations are made.</w:t>
      </w:r>
    </w:p>
    <w:p w:rsidR="00F07B2D" w:rsidRPr="00904FC7" w:rsidRDefault="00F07B2D" w:rsidP="00904FC7">
      <w:pPr>
        <w:spacing w:after="200"/>
        <w:ind w:left="800" w:hanging="500"/>
        <w:jc w:val="both"/>
        <w:rPr>
          <w:rFonts w:ascii="Times Roman" w:hAnsi="Times Roman" w:cs="Times Roman"/>
          <w:color w:val="auto"/>
        </w:rPr>
      </w:pPr>
      <w:r w:rsidRPr="00904FC7">
        <w:rPr>
          <w:rFonts w:ascii="Times Roman" w:hAnsi="Times Roman" w:cs="Times Roman"/>
          <w:color w:val="auto"/>
        </w:rPr>
        <w:t>(E) Procedure for applying for admission to the university.</w:t>
      </w:r>
    </w:p>
    <w:p w:rsidR="00F07B2D" w:rsidRPr="00904FC7" w:rsidRDefault="00F07B2D" w:rsidP="00904FC7">
      <w:pPr>
        <w:spacing w:after="200"/>
        <w:ind w:left="1200" w:hanging="500"/>
        <w:jc w:val="both"/>
        <w:rPr>
          <w:rFonts w:ascii="Times Roman" w:hAnsi="Times Roman" w:cs="Times Roman"/>
          <w:color w:val="auto"/>
        </w:rPr>
      </w:pPr>
      <w:r w:rsidRPr="00904FC7">
        <w:rPr>
          <w:rFonts w:ascii="Times Roman" w:hAnsi="Times Roman" w:cs="Times Roman"/>
          <w:color w:val="auto"/>
        </w:rPr>
        <w:t>(1) The admissions process for undergraduate students is contained in rule 3359-60-02 of the Administrative Code.</w:t>
      </w:r>
    </w:p>
    <w:p w:rsidR="00F07B2D" w:rsidRPr="00904FC7" w:rsidRDefault="00F07B2D" w:rsidP="00904FC7">
      <w:pPr>
        <w:spacing w:after="200"/>
        <w:ind w:left="1200" w:hanging="500"/>
        <w:jc w:val="both"/>
        <w:rPr>
          <w:rFonts w:ascii="Times Roman" w:hAnsi="Times Roman" w:cs="Times Roman"/>
          <w:color w:val="auto"/>
        </w:rPr>
      </w:pPr>
      <w:r w:rsidRPr="00904FC7">
        <w:rPr>
          <w:rFonts w:ascii="Times Roman" w:hAnsi="Times Roman" w:cs="Times Roman"/>
          <w:color w:val="auto"/>
        </w:rPr>
        <w:t>(2) The requirements for admission in graduate or professional schools is set forth in rule 3359-60-06.1 of the Administrative Code.</w:t>
      </w:r>
    </w:p>
    <w:p w:rsidR="00F07B2D" w:rsidRPr="00904FC7" w:rsidRDefault="00F07B2D" w:rsidP="00904FC7">
      <w:pPr>
        <w:spacing w:after="200"/>
        <w:ind w:left="800" w:hanging="500"/>
        <w:jc w:val="both"/>
        <w:rPr>
          <w:rFonts w:ascii="Times Roman" w:hAnsi="Times Roman" w:cs="Times Roman"/>
          <w:color w:val="auto"/>
        </w:rPr>
      </w:pPr>
      <w:r w:rsidRPr="00904FC7">
        <w:rPr>
          <w:rFonts w:ascii="Times Roman" w:hAnsi="Times Roman" w:cs="Times Roman"/>
          <w:color w:val="auto"/>
        </w:rPr>
        <w:t>(F) Registration procedure.</w:t>
      </w:r>
    </w:p>
    <w:p w:rsidR="00F07B2D" w:rsidRPr="00904FC7" w:rsidRDefault="00F07B2D" w:rsidP="00904FC7">
      <w:pPr>
        <w:spacing w:after="200"/>
        <w:ind w:left="800"/>
        <w:jc w:val="both"/>
        <w:rPr>
          <w:rFonts w:ascii="Times Roman" w:hAnsi="Times Roman" w:cs="Times Roman"/>
          <w:color w:val="auto"/>
        </w:rPr>
      </w:pPr>
      <w:r w:rsidRPr="00904FC7">
        <w:rPr>
          <w:rFonts w:ascii="Times Roman" w:hAnsi="Times Roman" w:cs="Times Roman"/>
          <w:color w:val="auto"/>
        </w:rPr>
        <w:t>Details are contained online at http://www.uakron.edu.</w:t>
      </w:r>
    </w:p>
    <w:p w:rsidR="00F07B2D" w:rsidRPr="00904FC7" w:rsidRDefault="00F07B2D" w:rsidP="00904FC7">
      <w:pPr>
        <w:spacing w:after="200"/>
        <w:ind w:left="800" w:hanging="500"/>
        <w:jc w:val="both"/>
        <w:rPr>
          <w:rFonts w:ascii="Times Roman" w:hAnsi="Times Roman" w:cs="Times Roman"/>
          <w:color w:val="auto"/>
        </w:rPr>
      </w:pPr>
      <w:r w:rsidRPr="00904FC7">
        <w:rPr>
          <w:rFonts w:ascii="Times Roman" w:hAnsi="Times Roman" w:cs="Times Roman"/>
          <w:color w:val="auto"/>
        </w:rPr>
        <w:t>(G) Advising services.</w:t>
      </w:r>
    </w:p>
    <w:p w:rsidR="00F07B2D" w:rsidRPr="00904FC7" w:rsidRDefault="00F07B2D" w:rsidP="00904FC7">
      <w:pPr>
        <w:spacing w:after="200"/>
        <w:ind w:left="1200" w:hanging="500"/>
        <w:jc w:val="both"/>
        <w:rPr>
          <w:rFonts w:ascii="Times Roman" w:hAnsi="Times Roman" w:cs="Times Roman"/>
          <w:color w:val="auto"/>
        </w:rPr>
      </w:pPr>
      <w:r w:rsidRPr="00904FC7">
        <w:rPr>
          <w:rFonts w:ascii="Times Roman" w:hAnsi="Times Roman" w:cs="Times Roman"/>
          <w:color w:val="auto"/>
        </w:rPr>
        <w:t>(1) Academic advising is available to students. Faculty members are encouraged to refer students to their academic advisor when necessary.</w:t>
      </w:r>
    </w:p>
    <w:p w:rsidR="00904FC7" w:rsidRDefault="00904FC7" w:rsidP="00904FC7">
      <w:pPr>
        <w:spacing w:after="200"/>
        <w:ind w:left="1200" w:hanging="500"/>
        <w:jc w:val="both"/>
        <w:rPr>
          <w:rFonts w:ascii="Times Roman" w:hAnsi="Times Roman" w:cs="Times Roman"/>
          <w:color w:val="auto"/>
        </w:rPr>
      </w:pPr>
    </w:p>
    <w:p w:rsidR="00F07B2D" w:rsidRPr="00904FC7" w:rsidRDefault="00F07B2D" w:rsidP="00904FC7">
      <w:pPr>
        <w:spacing w:after="200"/>
        <w:ind w:left="1200" w:hanging="500"/>
        <w:jc w:val="both"/>
        <w:rPr>
          <w:rFonts w:ascii="Times Roman" w:hAnsi="Times Roman" w:cs="Times Roman"/>
          <w:color w:val="auto"/>
        </w:rPr>
      </w:pPr>
      <w:r w:rsidRPr="00904FC7">
        <w:rPr>
          <w:rFonts w:ascii="Times Roman" w:hAnsi="Times Roman" w:cs="Times Roman"/>
          <w:color w:val="auto"/>
        </w:rPr>
        <w:t>(2) Academic advisors can, after consultation, refer students to the appropriate office for special testing, counseling, psychiatric and medical aid, financial assistance, or other services.</w:t>
      </w:r>
    </w:p>
    <w:p w:rsidR="00F07B2D" w:rsidRPr="00904FC7" w:rsidRDefault="00F07B2D" w:rsidP="00904FC7">
      <w:pPr>
        <w:spacing w:after="200"/>
        <w:ind w:left="800" w:hanging="500"/>
        <w:jc w:val="both"/>
        <w:rPr>
          <w:rFonts w:ascii="Times Roman" w:hAnsi="Times Roman" w:cs="Times Roman"/>
          <w:color w:val="auto"/>
        </w:rPr>
      </w:pPr>
      <w:r w:rsidRPr="00904FC7">
        <w:rPr>
          <w:rFonts w:ascii="Times Roman" w:hAnsi="Times Roman" w:cs="Times Roman"/>
          <w:color w:val="auto"/>
        </w:rPr>
        <w:t>(H) Intercollege transfer.</w:t>
      </w:r>
    </w:p>
    <w:p w:rsidR="00F07B2D" w:rsidRPr="00904FC7" w:rsidRDefault="00F07B2D" w:rsidP="00904FC7">
      <w:pPr>
        <w:spacing w:after="200"/>
        <w:ind w:left="800"/>
        <w:jc w:val="both"/>
        <w:rPr>
          <w:rFonts w:ascii="Times Roman" w:hAnsi="Times Roman" w:cs="Times Roman"/>
          <w:color w:val="auto"/>
        </w:rPr>
      </w:pPr>
      <w:r w:rsidRPr="00904FC7">
        <w:rPr>
          <w:rFonts w:ascii="Times Roman" w:hAnsi="Times Roman" w:cs="Times Roman"/>
          <w:color w:val="auto"/>
        </w:rPr>
        <w:t>In order to qualify for transfer to a degree-granting college, a student must meet all requirements imposed by the college in which enrollment is planned. These requirements differ slightly among the colleges. The same regulations apply to students wishing to transfer from one degree-granting college to another. Application for transfer is started with the unit responsible for intercollege transfer, and the respective dean's offices.</w:t>
      </w:r>
    </w:p>
    <w:p w:rsidR="00F07B2D" w:rsidRPr="00904FC7" w:rsidRDefault="00F07B2D" w:rsidP="00904FC7">
      <w:pPr>
        <w:spacing w:after="200"/>
        <w:ind w:left="800" w:hanging="500"/>
        <w:jc w:val="both"/>
        <w:rPr>
          <w:rFonts w:ascii="Times Roman" w:hAnsi="Times Roman" w:cs="Times Roman"/>
          <w:color w:val="auto"/>
        </w:rPr>
      </w:pPr>
      <w:r w:rsidRPr="00904FC7">
        <w:rPr>
          <w:rFonts w:ascii="Times Roman" w:hAnsi="Times Roman" w:cs="Times Roman"/>
          <w:color w:val="auto"/>
        </w:rPr>
        <w:t>(I) Veterans.</w:t>
      </w:r>
    </w:p>
    <w:p w:rsidR="00F07B2D" w:rsidRPr="00904FC7" w:rsidRDefault="00F07B2D" w:rsidP="00904FC7">
      <w:pPr>
        <w:spacing w:after="200"/>
        <w:ind w:left="800"/>
        <w:jc w:val="both"/>
        <w:rPr>
          <w:rFonts w:ascii="Times Roman" w:hAnsi="Times Roman" w:cs="Times Roman"/>
          <w:color w:val="auto"/>
        </w:rPr>
      </w:pPr>
      <w:r w:rsidRPr="00904FC7">
        <w:rPr>
          <w:rFonts w:ascii="Times Roman" w:hAnsi="Times Roman" w:cs="Times Roman"/>
          <w:color w:val="auto"/>
        </w:rPr>
        <w:t>Students who are entitled to veterans' benefits under the Veterans' Readjustment Benefits Act should be referred to the office that provides military services.</w:t>
      </w:r>
    </w:p>
    <w:p w:rsidR="00904FC7" w:rsidRDefault="00904FC7" w:rsidP="00904FC7">
      <w:pPr>
        <w:jc w:val="both"/>
        <w:rPr>
          <w:rFonts w:ascii="Times New Roman" w:hAnsi="Times New Roman" w:cs="Times New Roman"/>
          <w:color w:val="auto"/>
        </w:rPr>
      </w:pPr>
    </w:p>
    <w:p w:rsidR="00904FC7" w:rsidRDefault="00904FC7" w:rsidP="00904FC7">
      <w:pPr>
        <w:jc w:val="both"/>
        <w:rPr>
          <w:rFonts w:ascii="Times New Roman" w:hAnsi="Times New Roman" w:cs="Times New Roman"/>
          <w:color w:val="auto"/>
        </w:rPr>
      </w:pPr>
    </w:p>
    <w:p w:rsidR="00904FC7" w:rsidRPr="00904FC7" w:rsidRDefault="00904FC7" w:rsidP="00904FC7">
      <w:pPr>
        <w:widowControl/>
        <w:rPr>
          <w:rFonts w:ascii="Times New Roman" w:hAnsi="Times New Roman" w:cs="Times New Roman"/>
          <w:color w:val="auto"/>
        </w:rPr>
      </w:pPr>
      <w:r w:rsidRPr="00904FC7">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904FC7">
        <w:rPr>
          <w:rFonts w:ascii="Times New Roman" w:hAnsi="Times New Roman" w:cs="Times New Roman"/>
          <w:color w:val="auto"/>
        </w:rPr>
        <w:t>3359-20-05</w:t>
      </w:r>
    </w:p>
    <w:p w:rsidR="00904FC7" w:rsidRDefault="00904FC7" w:rsidP="00904FC7">
      <w:pPr>
        <w:widowControl/>
        <w:rPr>
          <w:rFonts w:ascii="Times New Roman" w:hAnsi="Times New Roman" w:cs="Times New Roman"/>
          <w:color w:val="auto"/>
        </w:rPr>
      </w:pPr>
    </w:p>
    <w:p w:rsidR="00904FC7" w:rsidRPr="00904FC7" w:rsidRDefault="00904FC7" w:rsidP="00904FC7">
      <w:pPr>
        <w:widowControl/>
        <w:rPr>
          <w:rFonts w:ascii="Times New Roman" w:hAnsi="Times New Roman" w:cs="Times New Roman"/>
          <w:color w:val="auto"/>
        </w:rPr>
      </w:pPr>
      <w:r w:rsidRPr="00904FC7">
        <w:rPr>
          <w:rFonts w:ascii="Times New Roman" w:hAnsi="Times New Roman" w:cs="Times New Roman"/>
          <w:color w:val="auto"/>
        </w:rPr>
        <w:t>Effective:</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904FC7">
        <w:rPr>
          <w:rFonts w:ascii="Times New Roman" w:hAnsi="Times New Roman" w:cs="Times New Roman"/>
          <w:color w:val="auto"/>
        </w:rPr>
        <w:t>02/01/2015</w:t>
      </w:r>
    </w:p>
    <w:p w:rsidR="00904FC7" w:rsidRDefault="00904FC7" w:rsidP="00904FC7">
      <w:pPr>
        <w:widowControl/>
        <w:rPr>
          <w:rFonts w:ascii="Times New Roman" w:hAnsi="Times New Roman" w:cs="Times New Roman"/>
          <w:color w:val="auto"/>
        </w:rPr>
      </w:pPr>
    </w:p>
    <w:p w:rsidR="00904FC7" w:rsidRPr="00904FC7" w:rsidRDefault="00904FC7" w:rsidP="00904FC7">
      <w:pPr>
        <w:widowControl/>
        <w:rPr>
          <w:rFonts w:ascii="Times New Roman" w:hAnsi="Times New Roman" w:cs="Times New Roman"/>
          <w:color w:val="auto"/>
          <w:u w:val="single"/>
        </w:rPr>
      </w:pPr>
      <w:r w:rsidRPr="00904FC7">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904FC7" w:rsidRDefault="00904FC7" w:rsidP="00904FC7">
      <w:pPr>
        <w:widowControl/>
        <w:ind w:left="3600" w:firstLine="720"/>
        <w:rPr>
          <w:rFonts w:ascii="Times New Roman" w:hAnsi="Times New Roman" w:cs="Times New Roman"/>
          <w:color w:val="auto"/>
        </w:rPr>
      </w:pPr>
      <w:r w:rsidRPr="00904FC7">
        <w:rPr>
          <w:rFonts w:ascii="Times New Roman" w:hAnsi="Times New Roman" w:cs="Times New Roman"/>
          <w:color w:val="auto"/>
        </w:rPr>
        <w:t>Ted A. Mallo</w:t>
      </w:r>
    </w:p>
    <w:p w:rsidR="00904FC7" w:rsidRDefault="00904FC7" w:rsidP="00904FC7">
      <w:pPr>
        <w:widowControl/>
        <w:ind w:left="3600" w:firstLine="720"/>
        <w:rPr>
          <w:rFonts w:ascii="Times New Roman" w:hAnsi="Times New Roman" w:cs="Times New Roman"/>
          <w:color w:val="auto"/>
        </w:rPr>
      </w:pPr>
      <w:r w:rsidRPr="00904FC7">
        <w:rPr>
          <w:rFonts w:ascii="Times New Roman" w:hAnsi="Times New Roman" w:cs="Times New Roman"/>
          <w:color w:val="auto"/>
        </w:rPr>
        <w:t>Secretary</w:t>
      </w:r>
    </w:p>
    <w:p w:rsidR="00904FC7" w:rsidRDefault="00904FC7" w:rsidP="00904FC7">
      <w:pPr>
        <w:widowControl/>
        <w:ind w:left="3600" w:firstLine="720"/>
        <w:rPr>
          <w:rFonts w:ascii="Times New Roman" w:hAnsi="Times New Roman" w:cs="Times New Roman"/>
          <w:color w:val="auto"/>
        </w:rPr>
      </w:pPr>
      <w:r w:rsidRPr="00904FC7">
        <w:rPr>
          <w:rFonts w:ascii="Times New Roman" w:hAnsi="Times New Roman" w:cs="Times New Roman"/>
          <w:color w:val="auto"/>
        </w:rPr>
        <w:t>Board of Trustees</w:t>
      </w:r>
    </w:p>
    <w:p w:rsidR="00904FC7" w:rsidRPr="00904FC7" w:rsidRDefault="00904FC7" w:rsidP="00904FC7">
      <w:pPr>
        <w:widowControl/>
        <w:ind w:left="3600" w:firstLine="720"/>
        <w:rPr>
          <w:rFonts w:ascii="Times New Roman" w:hAnsi="Times New Roman" w:cs="Times New Roman"/>
          <w:color w:val="auto"/>
        </w:rPr>
      </w:pPr>
    </w:p>
    <w:p w:rsidR="00904FC7" w:rsidRDefault="00904FC7" w:rsidP="00904FC7">
      <w:pPr>
        <w:widowControl/>
        <w:rPr>
          <w:rFonts w:ascii="Times New Roman" w:hAnsi="Times New Roman" w:cs="Times New Roman"/>
          <w:color w:val="auto"/>
        </w:rPr>
      </w:pPr>
      <w:r w:rsidRPr="00904FC7">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904FC7">
        <w:rPr>
          <w:rFonts w:ascii="Times New Roman" w:hAnsi="Times New Roman" w:cs="Times New Roman"/>
          <w:color w:val="auto"/>
        </w:rPr>
        <w:t>111.15</w:t>
      </w:r>
    </w:p>
    <w:p w:rsidR="00904FC7" w:rsidRPr="00904FC7" w:rsidRDefault="00904FC7" w:rsidP="00904FC7">
      <w:pPr>
        <w:widowControl/>
        <w:rPr>
          <w:rFonts w:ascii="Times New Roman" w:hAnsi="Times New Roman" w:cs="Times New Roman"/>
          <w:color w:val="auto"/>
        </w:rPr>
      </w:pPr>
    </w:p>
    <w:p w:rsidR="00904FC7" w:rsidRDefault="00904FC7" w:rsidP="00904FC7">
      <w:pPr>
        <w:widowControl/>
        <w:rPr>
          <w:rFonts w:ascii="Times New Roman" w:hAnsi="Times New Roman" w:cs="Times New Roman"/>
          <w:color w:val="auto"/>
        </w:rPr>
      </w:pPr>
      <w:r w:rsidRPr="00904FC7">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904FC7">
        <w:rPr>
          <w:rFonts w:ascii="Times New Roman" w:hAnsi="Times New Roman" w:cs="Times New Roman"/>
          <w:color w:val="auto"/>
        </w:rPr>
        <w:t>3359</w:t>
      </w:r>
    </w:p>
    <w:p w:rsidR="00904FC7" w:rsidRPr="00904FC7" w:rsidRDefault="00904FC7" w:rsidP="00904FC7">
      <w:pPr>
        <w:widowControl/>
        <w:rPr>
          <w:rFonts w:ascii="Times New Roman" w:hAnsi="Times New Roman" w:cs="Times New Roman"/>
          <w:color w:val="auto"/>
        </w:rPr>
      </w:pPr>
    </w:p>
    <w:p w:rsidR="00904FC7" w:rsidRDefault="00904FC7" w:rsidP="00904FC7">
      <w:pPr>
        <w:widowControl/>
        <w:rPr>
          <w:rFonts w:ascii="Times New Roman" w:hAnsi="Times New Roman" w:cs="Times New Roman"/>
          <w:color w:val="auto"/>
        </w:rPr>
      </w:pPr>
      <w:r w:rsidRPr="00904FC7">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904FC7">
        <w:rPr>
          <w:rFonts w:ascii="Times New Roman" w:hAnsi="Times New Roman" w:cs="Times New Roman"/>
          <w:color w:val="auto"/>
        </w:rPr>
        <w:t>3359</w:t>
      </w:r>
    </w:p>
    <w:p w:rsidR="00904FC7" w:rsidRPr="00904FC7" w:rsidRDefault="00904FC7" w:rsidP="00904FC7">
      <w:pPr>
        <w:widowControl/>
        <w:rPr>
          <w:rFonts w:ascii="Times New Roman" w:hAnsi="Times New Roman" w:cs="Times New Roman"/>
          <w:color w:val="auto"/>
        </w:rPr>
      </w:pPr>
    </w:p>
    <w:p w:rsidR="00904FC7" w:rsidRDefault="00904FC7" w:rsidP="00904FC7">
      <w:pPr>
        <w:widowControl/>
        <w:rPr>
          <w:rFonts w:ascii="Times New Roman" w:hAnsi="Times New Roman" w:cs="Times New Roman"/>
          <w:color w:val="auto"/>
        </w:rPr>
      </w:pPr>
      <w:r w:rsidRPr="00904FC7">
        <w:rPr>
          <w:rFonts w:ascii="Times New Roman" w:hAnsi="Times New Roman" w:cs="Times New Roman"/>
          <w:color w:val="auto"/>
        </w:rPr>
        <w:t>Prior Effective Dates:</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904FC7">
        <w:rPr>
          <w:rFonts w:ascii="Times New Roman" w:hAnsi="Times New Roman" w:cs="Times New Roman"/>
          <w:color w:val="auto"/>
        </w:rPr>
        <w:t>11/27/89, 06/01/90, 07/31/92, 11/13/97, 06/25/07,</w:t>
      </w:r>
    </w:p>
    <w:p w:rsidR="00904FC7" w:rsidRPr="00904FC7" w:rsidRDefault="00904FC7" w:rsidP="00904FC7">
      <w:pPr>
        <w:widowControl/>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904FC7">
        <w:rPr>
          <w:rFonts w:ascii="Times New Roman" w:hAnsi="Times New Roman" w:cs="Times New Roman"/>
          <w:color w:val="auto"/>
        </w:rPr>
        <w:t>02/14/13</w:t>
      </w:r>
    </w:p>
    <w:sectPr w:rsidR="00904FC7" w:rsidRPr="00904FC7" w:rsidSect="00904FC7">
      <w:headerReference w:type="default" r:id="rId8"/>
      <w:pgSz w:w="12242" w:h="15842"/>
      <w:pgMar w:top="1440" w:right="144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B2D" w:rsidRDefault="00F07B2D">
      <w:r>
        <w:separator/>
      </w:r>
    </w:p>
  </w:endnote>
  <w:endnote w:type="continuationSeparator" w:id="0">
    <w:p w:rsidR="00F07B2D" w:rsidRDefault="00F0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B2D" w:rsidRDefault="00F07B2D">
      <w:r>
        <w:separator/>
      </w:r>
    </w:p>
  </w:footnote>
  <w:footnote w:type="continuationSeparator" w:id="0">
    <w:p w:rsidR="00F07B2D" w:rsidRDefault="00F07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FC7" w:rsidRPr="00904FC7" w:rsidRDefault="00904FC7" w:rsidP="00904FC7">
    <w:pPr>
      <w:pStyle w:val="Header"/>
      <w:rPr>
        <w:rFonts w:ascii="Times New Roman" w:hAnsi="Times New Roman" w:cs="Times New Roman"/>
      </w:rPr>
    </w:pPr>
    <w:r w:rsidRPr="00904FC7">
      <w:rPr>
        <w:rFonts w:ascii="Times New Roman" w:hAnsi="Times New Roman" w:cs="Times New Roman"/>
      </w:rPr>
      <w:t>3359-20-05</w:t>
    </w:r>
    <w:r w:rsidRPr="00904FC7">
      <w:rPr>
        <w:rFonts w:ascii="Times New Roman" w:hAnsi="Times New Roman" w:cs="Times New Roman"/>
      </w:rPr>
      <w:tab/>
    </w:r>
    <w:r w:rsidRPr="00904FC7">
      <w:rPr>
        <w:rFonts w:ascii="Times New Roman" w:hAnsi="Times New Roman" w:cs="Times New Roman"/>
      </w:rPr>
      <w:tab/>
    </w:r>
    <w:r w:rsidRPr="00904FC7">
      <w:rPr>
        <w:rFonts w:ascii="Times New Roman" w:hAnsi="Times New Roman" w:cs="Times New Roman"/>
      </w:rPr>
      <w:fldChar w:fldCharType="begin"/>
    </w:r>
    <w:r w:rsidRPr="00904FC7">
      <w:rPr>
        <w:rFonts w:ascii="Times New Roman" w:hAnsi="Times New Roman" w:cs="Times New Roman"/>
      </w:rPr>
      <w:instrText xml:space="preserve"> PAGE   \* MERGEFORMAT </w:instrText>
    </w:r>
    <w:r w:rsidRPr="00904FC7">
      <w:rPr>
        <w:rFonts w:ascii="Times New Roman" w:hAnsi="Times New Roman" w:cs="Times New Roman"/>
      </w:rPr>
      <w:fldChar w:fldCharType="separate"/>
    </w:r>
    <w:r w:rsidR="00A958B7">
      <w:rPr>
        <w:rFonts w:ascii="Times New Roman" w:hAnsi="Times New Roman" w:cs="Times New Roman"/>
        <w:noProof/>
      </w:rPr>
      <w:t>2</w:t>
    </w:r>
    <w:r w:rsidRPr="00904FC7">
      <w:rPr>
        <w:rFonts w:ascii="Times New Roman" w:hAnsi="Times New Roman" w:cs="Times New Roman"/>
      </w:rPr>
      <w:fldChar w:fldCharType="end"/>
    </w:r>
  </w:p>
  <w:p w:rsidR="00F07B2D" w:rsidRPr="00904FC7" w:rsidRDefault="00F07B2D">
    <w:pPr>
      <w:spacing w:line="320" w:lineRule="atLeast"/>
      <w:jc w:val="center"/>
      <w:rPr>
        <w:rFonts w:ascii="Times New Roman" w:hAnsi="Times New Roman" w:cs="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FC7"/>
    <w:rsid w:val="00904FC7"/>
    <w:rsid w:val="00A958B7"/>
    <w:rsid w:val="00F07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904FC7"/>
    <w:pPr>
      <w:tabs>
        <w:tab w:val="center" w:pos="4680"/>
        <w:tab w:val="right" w:pos="9360"/>
      </w:tabs>
    </w:pPr>
  </w:style>
  <w:style w:type="character" w:customStyle="1" w:styleId="HeaderChar">
    <w:name w:val="Header Char"/>
    <w:basedOn w:val="DefaultParagraphFont"/>
    <w:link w:val="Header"/>
    <w:uiPriority w:val="99"/>
    <w:locked/>
    <w:rsid w:val="00904FC7"/>
    <w:rPr>
      <w:rFonts w:ascii="Arial" w:hAnsi="Arial" w:cs="Arial"/>
      <w:color w:val="000000"/>
      <w:sz w:val="24"/>
      <w:szCs w:val="24"/>
    </w:rPr>
  </w:style>
  <w:style w:type="paragraph" w:styleId="Footer">
    <w:name w:val="footer"/>
    <w:basedOn w:val="Normal"/>
    <w:link w:val="FooterChar"/>
    <w:uiPriority w:val="99"/>
    <w:unhideWhenUsed/>
    <w:rsid w:val="00904FC7"/>
    <w:pPr>
      <w:tabs>
        <w:tab w:val="center" w:pos="4680"/>
        <w:tab w:val="right" w:pos="9360"/>
      </w:tabs>
    </w:pPr>
  </w:style>
  <w:style w:type="character" w:customStyle="1" w:styleId="FooterChar">
    <w:name w:val="Footer Char"/>
    <w:basedOn w:val="DefaultParagraphFont"/>
    <w:link w:val="Footer"/>
    <w:uiPriority w:val="99"/>
    <w:locked/>
    <w:rsid w:val="00904FC7"/>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904FC7"/>
    <w:pPr>
      <w:tabs>
        <w:tab w:val="center" w:pos="4680"/>
        <w:tab w:val="right" w:pos="9360"/>
      </w:tabs>
    </w:pPr>
  </w:style>
  <w:style w:type="character" w:customStyle="1" w:styleId="HeaderChar">
    <w:name w:val="Header Char"/>
    <w:basedOn w:val="DefaultParagraphFont"/>
    <w:link w:val="Header"/>
    <w:uiPriority w:val="99"/>
    <w:locked/>
    <w:rsid w:val="00904FC7"/>
    <w:rPr>
      <w:rFonts w:ascii="Arial" w:hAnsi="Arial" w:cs="Arial"/>
      <w:color w:val="000000"/>
      <w:sz w:val="24"/>
      <w:szCs w:val="24"/>
    </w:rPr>
  </w:style>
  <w:style w:type="paragraph" w:styleId="Footer">
    <w:name w:val="footer"/>
    <w:basedOn w:val="Normal"/>
    <w:link w:val="FooterChar"/>
    <w:uiPriority w:val="99"/>
    <w:unhideWhenUsed/>
    <w:rsid w:val="00904FC7"/>
    <w:pPr>
      <w:tabs>
        <w:tab w:val="center" w:pos="4680"/>
        <w:tab w:val="right" w:pos="9360"/>
      </w:tabs>
    </w:pPr>
  </w:style>
  <w:style w:type="character" w:customStyle="1" w:styleId="FooterChar">
    <w:name w:val="Footer Char"/>
    <w:basedOn w:val="DefaultParagraphFont"/>
    <w:link w:val="Footer"/>
    <w:uiPriority w:val="99"/>
    <w:locked/>
    <w:rsid w:val="00904FC7"/>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Sharon A Messner</cp:lastModifiedBy>
  <cp:revision>2</cp:revision>
  <dcterms:created xsi:type="dcterms:W3CDTF">2015-02-05T16:13:00Z</dcterms:created>
  <dcterms:modified xsi:type="dcterms:W3CDTF">2015-02-05T16:13:00Z</dcterms:modified>
</cp:coreProperties>
</file>