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4678" w14:textId="77777777" w:rsidR="002763AA" w:rsidRDefault="002763AA" w:rsidP="002763AA">
      <w:pPr>
        <w:spacing w:after="200"/>
        <w:ind w:left="2000" w:hanging="1600"/>
        <w:jc w:val="both"/>
        <w:rPr>
          <w:rFonts w:ascii="Times Roman" w:hAnsi="Times Roman" w:cs="Times Roman"/>
        </w:rPr>
      </w:pPr>
      <w:r>
        <w:rPr>
          <w:rFonts w:ascii="Times Roman" w:hAnsi="Times Roman" w:cs="Times Roman"/>
          <w:b/>
          <w:bCs/>
        </w:rPr>
        <w:t>3359-11-02.1     Furloughs for non-bargaining unit employees.</w:t>
      </w:r>
    </w:p>
    <w:p w14:paraId="42AB36D8" w14:textId="77777777" w:rsidR="002763AA" w:rsidRDefault="002763AA" w:rsidP="002763AA">
      <w:pPr>
        <w:spacing w:after="200"/>
        <w:ind w:left="800" w:hanging="500"/>
        <w:jc w:val="both"/>
        <w:rPr>
          <w:rFonts w:ascii="Times Roman" w:hAnsi="Times Roman" w:cs="Times Roman"/>
        </w:rPr>
      </w:pPr>
      <w:r>
        <w:rPr>
          <w:rFonts w:ascii="Times Roman" w:hAnsi="Times Roman" w:cs="Times Roman"/>
        </w:rPr>
        <w:t>(A) Introduction.</w:t>
      </w:r>
    </w:p>
    <w:p w14:paraId="3D63E0B9"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 xml:space="preserve">(1) </w:t>
      </w:r>
      <w:r>
        <w:rPr>
          <w:rFonts w:ascii="Times Roman" w:hAnsi="Times Roman" w:cs="Times Roman"/>
        </w:rPr>
        <w:t xml:space="preserve">The university is required to balance its operating budget each fiscal year. This rule provides the framework for the implementation of an employee furlough plan that </w:t>
      </w:r>
      <w:proofErr w:type="gramStart"/>
      <w:r>
        <w:rPr>
          <w:rFonts w:ascii="Times Roman" w:hAnsi="Times Roman" w:cs="Times Roman"/>
        </w:rPr>
        <w:t>would</w:t>
      </w:r>
      <w:proofErr w:type="gramEnd"/>
      <w:r>
        <w:rPr>
          <w:rFonts w:ascii="Times Roman" w:hAnsi="Times Roman" w:cs="Times Roman"/>
        </w:rPr>
        <w:t xml:space="preserve"> allow the university to balance its budget if it experiences a reduction in state f</w:t>
      </w:r>
      <w:r>
        <w:rPr>
          <w:rFonts w:ascii="Times Roman" w:hAnsi="Times Roman" w:cs="Times Roman"/>
        </w:rPr>
        <w:t>unding or other loss of revenue, for any reason, that causes a significant operating deficit.</w:t>
      </w:r>
    </w:p>
    <w:p w14:paraId="3BB0F465"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(2) Section 371.70.20 of Amended Substitute House Bill No. 1, effective on July 17, 2009 of the 128th General Assembly, provides that, "the board of trustees of a</w:t>
      </w:r>
      <w:r>
        <w:rPr>
          <w:rFonts w:ascii="Times Roman" w:hAnsi="Times Roman" w:cs="Times Roman"/>
        </w:rPr>
        <w:t>ny state institution of higher education, notwithstanding any rule of the institution to the contrary, may adopt a rule providing for mandatory furloughs of employees, including faculty, to achieve spending reductions necessitated by institutional budget d</w:t>
      </w:r>
      <w:r>
        <w:rPr>
          <w:rFonts w:ascii="Times Roman" w:hAnsi="Times Roman" w:cs="Times Roman"/>
        </w:rPr>
        <w:t>eficits."</w:t>
      </w:r>
    </w:p>
    <w:p w14:paraId="0E9CA2B5"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(3) On October 17, 2007, the university of Akron board of trustees passed Resolution No. 10-14-07, specifically authorizing the administration to propose revised or new policies and procedures applicable to classified civil service employees in a</w:t>
      </w:r>
      <w:r>
        <w:rPr>
          <w:rFonts w:ascii="Times Roman" w:hAnsi="Times Roman" w:cs="Times Roman"/>
        </w:rPr>
        <w:t>ccordance with House Bill 187 of the 126th General Assembly.</w:t>
      </w:r>
    </w:p>
    <w:p w14:paraId="2A1AAF54"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(4) Faculty and/or staff whose employment is covered by a collective bargaining agreement are not subject to this rule.</w:t>
      </w:r>
    </w:p>
    <w:p w14:paraId="5CC4FE7C" w14:textId="77777777" w:rsidR="002763AA" w:rsidRDefault="002763AA" w:rsidP="002763AA">
      <w:pPr>
        <w:spacing w:after="200"/>
        <w:ind w:left="800" w:hanging="500"/>
        <w:jc w:val="both"/>
        <w:rPr>
          <w:rFonts w:ascii="Times Roman" w:hAnsi="Times Roman" w:cs="Times Roman"/>
        </w:rPr>
      </w:pPr>
      <w:r>
        <w:rPr>
          <w:rFonts w:ascii="Times Roman" w:hAnsi="Times Roman" w:cs="Times Roman"/>
        </w:rPr>
        <w:t>(B) Definition.</w:t>
      </w:r>
    </w:p>
    <w:p w14:paraId="0C63B424"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 xml:space="preserve">(1) A furlough is an unpaid leave of absence from work for </w:t>
      </w:r>
      <w:r>
        <w:rPr>
          <w:rFonts w:ascii="Times Roman" w:hAnsi="Times Roman" w:cs="Times Roman"/>
        </w:rPr>
        <w:t>a specified period of time.</w:t>
      </w:r>
    </w:p>
    <w:p w14:paraId="68027B6E"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(2) Employees are not permitted to engage in work when taking furlough time.</w:t>
      </w:r>
    </w:p>
    <w:p w14:paraId="42460733" w14:textId="77777777" w:rsidR="002763AA" w:rsidRDefault="002763AA" w:rsidP="002763AA">
      <w:pPr>
        <w:spacing w:after="200"/>
        <w:ind w:left="800" w:hanging="500"/>
        <w:jc w:val="both"/>
        <w:rPr>
          <w:rFonts w:ascii="Times Roman" w:hAnsi="Times Roman" w:cs="Times Roman"/>
        </w:rPr>
      </w:pPr>
      <w:r>
        <w:rPr>
          <w:rFonts w:ascii="Times Roman" w:hAnsi="Times Roman" w:cs="Times Roman"/>
        </w:rPr>
        <w:t>(C) Employees subject to furlough.</w:t>
      </w:r>
    </w:p>
    <w:p w14:paraId="138EFA02"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(1) Except as otherwise noted in thi</w:t>
      </w:r>
      <w:r>
        <w:rPr>
          <w:rFonts w:ascii="Times Roman" w:hAnsi="Times Roman" w:cs="Times Roman"/>
        </w:rPr>
        <w:t xml:space="preserve">s rule, all non-bargaining unit university employees, whether full-time or part-time, </w:t>
      </w:r>
      <w:proofErr w:type="gramStart"/>
      <w:r>
        <w:rPr>
          <w:rFonts w:ascii="Times Roman" w:hAnsi="Times Roman" w:cs="Times Roman"/>
        </w:rPr>
        <w:t>permanent</w:t>
      </w:r>
      <w:proofErr w:type="gramEnd"/>
      <w:r>
        <w:rPr>
          <w:rFonts w:ascii="Times Roman" w:hAnsi="Times Roman" w:cs="Times Roman"/>
        </w:rPr>
        <w:t xml:space="preserve"> or temporary, may be subject to a furlough. Employees subject to furlough include, but are not limited to, classified and unclassified staff employees, professi</w:t>
      </w:r>
      <w:r>
        <w:rPr>
          <w:rFonts w:ascii="Times Roman" w:hAnsi="Times Roman" w:cs="Times Roman"/>
        </w:rPr>
        <w:t xml:space="preserve">onal staff (including coaches), and all non-bargaining unit faculty. </w:t>
      </w:r>
    </w:p>
    <w:p w14:paraId="6F19E754"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(2) Employees who are holders of H-1B visas, as defined in 20 C.F.R. 665.731, will not be subject to furlough.</w:t>
      </w:r>
    </w:p>
    <w:p w14:paraId="4FCC8218"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(3) Student employees and graduate assistants are not subject to furlough.</w:t>
      </w:r>
    </w:p>
    <w:p w14:paraId="73A7A0DE"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 xml:space="preserve">(4) Faculty and staff </w:t>
      </w:r>
      <w:proofErr w:type="gramStart"/>
      <w:r>
        <w:rPr>
          <w:rFonts w:ascii="Times Roman" w:hAnsi="Times Roman" w:cs="Times Roman"/>
        </w:rPr>
        <w:t>positions</w:t>
      </w:r>
      <w:proofErr w:type="gramEnd"/>
      <w:r>
        <w:rPr>
          <w:rFonts w:ascii="Times Roman" w:hAnsi="Times Roman" w:cs="Times Roman"/>
        </w:rPr>
        <w:t xml:space="preserve"> fully supported by an outside funding source (e.g. grant funded) may not be subject to furlough. Positions partially funded by an outside funding source may still be subject to furlough.</w:t>
      </w:r>
    </w:p>
    <w:p w14:paraId="00D34FCD"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lastRenderedPageBreak/>
        <w:t>(5) A furlough plan may exclude emplo</w:t>
      </w:r>
      <w:r>
        <w:rPr>
          <w:rFonts w:ascii="Times Roman" w:hAnsi="Times Roman" w:cs="Times Roman"/>
        </w:rPr>
        <w:t>yees who perform functions essential to maintain health and safety on the university campus as well as other employees deemed by the president or his or her designee as essential. Any such exclusions must be approved by the president or his or her designee</w:t>
      </w:r>
      <w:r>
        <w:rPr>
          <w:rFonts w:ascii="Times Roman" w:hAnsi="Times Roman" w:cs="Times Roman"/>
        </w:rPr>
        <w:t>(s).</w:t>
      </w:r>
    </w:p>
    <w:p w14:paraId="45A9155C" w14:textId="77777777" w:rsidR="002763AA" w:rsidRDefault="002763AA" w:rsidP="002763AA">
      <w:pPr>
        <w:spacing w:after="200"/>
        <w:ind w:left="800" w:hanging="500"/>
        <w:jc w:val="both"/>
        <w:rPr>
          <w:rFonts w:ascii="Times Roman" w:hAnsi="Times Roman" w:cs="Times Roman"/>
        </w:rPr>
      </w:pPr>
      <w:r>
        <w:rPr>
          <w:rFonts w:ascii="Times Roman" w:hAnsi="Times Roman" w:cs="Times Roman"/>
        </w:rPr>
        <w:t>(D) Implementation and scheduling.</w:t>
      </w:r>
    </w:p>
    <w:p w14:paraId="02A53282"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(1) If, after consultation with the board, the president reasonably believes that the university is facing a significant operating budget deficit, for any reason, a furlough may be implemented. This rule supersedes a</w:t>
      </w:r>
      <w:r>
        <w:rPr>
          <w:rFonts w:ascii="Times Roman" w:hAnsi="Times Roman" w:cs="Times Roman"/>
        </w:rPr>
        <w:t>ll other university rules and/or policies and applies to all non-bargaining unit employees, regardless of the source of funding.</w:t>
      </w:r>
    </w:p>
    <w:p w14:paraId="168F5A21"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(2) The university shall, as soon as practical before the furlough implementation date, notify all employees subject to furloug</w:t>
      </w:r>
      <w:r>
        <w:rPr>
          <w:rFonts w:ascii="Times Roman" w:hAnsi="Times Roman" w:cs="Times Roman"/>
        </w:rPr>
        <w:t>h of its intent to implement mandatory furloughs to achieve spending reductions necessitated by institutional budget deficits. Such notice shall include the nature and extent of furloughs, and the method of implementation.</w:t>
      </w:r>
    </w:p>
    <w:p w14:paraId="1481609C"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(3) Employees may be furloughed u</w:t>
      </w:r>
      <w:r>
        <w:rPr>
          <w:rFonts w:ascii="Times Roman" w:hAnsi="Times Roman" w:cs="Times Roman"/>
        </w:rPr>
        <w:t>p to seventy working days (fourteen weeks) in any fiscal year. The scheduling of furlough days shall be the sole responsibility of the president or the president</w:t>
      </w:r>
      <w:r>
        <w:rPr>
          <w:rFonts w:ascii="Times Roman" w:hAnsi="Times Roman" w:cs="Times Roman"/>
        </w:rPr>
        <w:t>’</w:t>
      </w:r>
      <w:r>
        <w:rPr>
          <w:rFonts w:ascii="Times Roman" w:hAnsi="Times Roman" w:cs="Times Roman"/>
        </w:rPr>
        <w:t xml:space="preserve">s designee(s) in consultation with the individual college, </w:t>
      </w:r>
      <w:proofErr w:type="gramStart"/>
      <w:r>
        <w:rPr>
          <w:rFonts w:ascii="Times Roman" w:hAnsi="Times Roman" w:cs="Times Roman"/>
        </w:rPr>
        <w:t>department</w:t>
      </w:r>
      <w:proofErr w:type="gramEnd"/>
      <w:r>
        <w:rPr>
          <w:rFonts w:ascii="Times Roman" w:hAnsi="Times Roman" w:cs="Times Roman"/>
        </w:rPr>
        <w:t xml:space="preserve"> or unit.</w:t>
      </w:r>
    </w:p>
    <w:p w14:paraId="42640921"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(4) Furlough da</w:t>
      </w:r>
      <w:r>
        <w:rPr>
          <w:rFonts w:ascii="Times Roman" w:hAnsi="Times Roman" w:cs="Times Roman"/>
        </w:rPr>
        <w:t xml:space="preserve">ys shall be scheduled at a time most operationally feasible to the college, </w:t>
      </w:r>
      <w:proofErr w:type="gramStart"/>
      <w:r>
        <w:rPr>
          <w:rFonts w:ascii="Times Roman" w:hAnsi="Times Roman" w:cs="Times Roman"/>
        </w:rPr>
        <w:t>department</w:t>
      </w:r>
      <w:proofErr w:type="gramEnd"/>
      <w:r>
        <w:rPr>
          <w:rFonts w:ascii="Times Roman" w:hAnsi="Times Roman" w:cs="Times Roman"/>
        </w:rPr>
        <w:t xml:space="preserve"> or unit. Non-bargaining unit faculty member furlough days shall not be scheduled during times when they are required to teach, except in the event of a major university </w:t>
      </w:r>
      <w:r>
        <w:rPr>
          <w:rFonts w:ascii="Times Roman" w:hAnsi="Times Roman" w:cs="Times Roman"/>
        </w:rPr>
        <w:t>crisis as determined by the president, or president</w:t>
      </w:r>
      <w:r>
        <w:rPr>
          <w:rFonts w:ascii="Times Roman" w:hAnsi="Times Roman" w:cs="Times Roman"/>
        </w:rPr>
        <w:t>’</w:t>
      </w:r>
      <w:r>
        <w:rPr>
          <w:rFonts w:ascii="Times Roman" w:hAnsi="Times Roman" w:cs="Times Roman"/>
        </w:rPr>
        <w:t>s designee.</w:t>
      </w:r>
    </w:p>
    <w:p w14:paraId="12BF0345"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 xml:space="preserve">(5) Furloughs may be scheduled on a continuous, </w:t>
      </w:r>
      <w:proofErr w:type="gramStart"/>
      <w:r>
        <w:rPr>
          <w:rFonts w:ascii="Times Roman" w:hAnsi="Times Roman" w:cs="Times Roman"/>
        </w:rPr>
        <w:t>intermittent</w:t>
      </w:r>
      <w:proofErr w:type="gramEnd"/>
      <w:r>
        <w:rPr>
          <w:rFonts w:ascii="Times Roman" w:hAnsi="Times Roman" w:cs="Times Roman"/>
        </w:rPr>
        <w:t xml:space="preserve"> or staggered basis based on an employees pay/salary level, employee classification or nature of appointment and scheduling is withi</w:t>
      </w:r>
      <w:r>
        <w:rPr>
          <w:rFonts w:ascii="Times Roman" w:hAnsi="Times Roman" w:cs="Times Roman"/>
        </w:rPr>
        <w:t xml:space="preserve">n the sole discretion of the president or his or her designee(s). </w:t>
      </w:r>
    </w:p>
    <w:p w14:paraId="44ED1E18"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 xml:space="preserve">(6) Furloughs may </w:t>
      </w:r>
      <w:proofErr w:type="gramStart"/>
      <w:r>
        <w:rPr>
          <w:rFonts w:ascii="Times Roman" w:hAnsi="Times Roman" w:cs="Times Roman"/>
        </w:rPr>
        <w:t>take into account</w:t>
      </w:r>
      <w:proofErr w:type="gramEnd"/>
      <w:r>
        <w:rPr>
          <w:rFonts w:ascii="Times Roman" w:hAnsi="Times Roman" w:cs="Times Roman"/>
        </w:rPr>
        <w:t xml:space="preserve"> the essential operating and safety needs of the university, the availability of funding, or income generated by the college, department or unit. Days tha</w:t>
      </w:r>
      <w:r>
        <w:rPr>
          <w:rFonts w:ascii="Times Roman" w:hAnsi="Times Roman" w:cs="Times Roman"/>
        </w:rPr>
        <w:t>t the university is normally closed or days that may not normally be workdays for certain groups of employees (e.g. spring break and the week between December twenty-fifth and January first of each year) may be designated as furlough days.</w:t>
      </w:r>
    </w:p>
    <w:p w14:paraId="57A8691E"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(7) Paid holiday</w:t>
      </w:r>
      <w:r>
        <w:rPr>
          <w:rFonts w:ascii="Times Roman" w:hAnsi="Times Roman" w:cs="Times Roman"/>
        </w:rPr>
        <w:t>s or other paid time off may not be substituted for furlough leave days.</w:t>
      </w:r>
    </w:p>
    <w:p w14:paraId="72D57B0A"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(8) Employees on leave shall be subject to furlough. The effective date of a furlough for an employee may not be extended on the basis that an employee is on a leave of absence.</w:t>
      </w:r>
    </w:p>
    <w:p w14:paraId="02DE11FE"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(9) S</w:t>
      </w:r>
      <w:r>
        <w:rPr>
          <w:rFonts w:ascii="Times Roman" w:hAnsi="Times Roman" w:cs="Times Roman"/>
        </w:rPr>
        <w:t xml:space="preserve">upervisors may not permit hourly employees to work overtime or take compensatory </w:t>
      </w:r>
      <w:r>
        <w:rPr>
          <w:rFonts w:ascii="Times Roman" w:hAnsi="Times Roman" w:cs="Times Roman"/>
        </w:rPr>
        <w:lastRenderedPageBreak/>
        <w:t xml:space="preserve">time in a week in which the employee is on a furlough. Overtime or compensatory time shall not be used to subvert furlough leave requirements. </w:t>
      </w:r>
    </w:p>
    <w:p w14:paraId="1C64EB5B"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(10)  Furloughs adopted pursuan</w:t>
      </w:r>
      <w:r>
        <w:rPr>
          <w:rFonts w:ascii="Times Roman" w:hAnsi="Times Roman" w:cs="Times Roman"/>
        </w:rPr>
        <w:t xml:space="preserve">t to this rule are not subject to review or appeal under any university rule, </w:t>
      </w:r>
      <w:proofErr w:type="gramStart"/>
      <w:r>
        <w:rPr>
          <w:rFonts w:ascii="Times Roman" w:hAnsi="Times Roman" w:cs="Times Roman"/>
        </w:rPr>
        <w:t>policy</w:t>
      </w:r>
      <w:proofErr w:type="gramEnd"/>
      <w:r>
        <w:rPr>
          <w:rFonts w:ascii="Times Roman" w:hAnsi="Times Roman" w:cs="Times Roman"/>
        </w:rPr>
        <w:t xml:space="preserve"> or internal grievance process.</w:t>
      </w:r>
    </w:p>
    <w:p w14:paraId="66A5D0BC" w14:textId="77777777" w:rsidR="002763AA" w:rsidRDefault="002763AA" w:rsidP="002763AA">
      <w:pPr>
        <w:spacing w:after="200"/>
        <w:ind w:left="800" w:hanging="500"/>
        <w:jc w:val="both"/>
        <w:rPr>
          <w:rFonts w:ascii="Times Roman" w:hAnsi="Times Roman" w:cs="Times Roman"/>
        </w:rPr>
      </w:pPr>
      <w:r>
        <w:rPr>
          <w:rFonts w:ascii="Times Roman" w:hAnsi="Times Roman" w:cs="Times Roman"/>
        </w:rPr>
        <w:t>(E) Employees benefits and contributions while on furlough.</w:t>
      </w:r>
    </w:p>
    <w:p w14:paraId="0245A281"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(1)  Employees may not use any accrued paid leave during periods of furlough, wh</w:t>
      </w:r>
      <w:r>
        <w:rPr>
          <w:rFonts w:ascii="Times Roman" w:hAnsi="Times Roman" w:cs="Times Roman"/>
        </w:rPr>
        <w:t>ich would negate necessary budget reductions. The university may allocate an employee</w:t>
      </w:r>
      <w:r>
        <w:rPr>
          <w:rFonts w:ascii="Times Roman" w:hAnsi="Times Roman" w:cs="Times Roman"/>
        </w:rPr>
        <w:t>’</w:t>
      </w:r>
      <w:r>
        <w:rPr>
          <w:rFonts w:ascii="Times Roman" w:hAnsi="Times Roman" w:cs="Times Roman"/>
        </w:rPr>
        <w:t>s reduction in pay over the balance of the fiscal year for payroll purposes, regardless of the pay period within which the furlough day(s) occur(s).</w:t>
      </w:r>
    </w:p>
    <w:p w14:paraId="4477D90C"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(2) Employees will co</w:t>
      </w:r>
      <w:r>
        <w:rPr>
          <w:rFonts w:ascii="Times Roman" w:hAnsi="Times Roman" w:cs="Times Roman"/>
        </w:rPr>
        <w:t>ntinue to accrue vacation and sick leave during the first twenty days of a furlough but will not accrue FMLA credit.</w:t>
      </w:r>
    </w:p>
    <w:p w14:paraId="44CE8551"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(3) Healthcare, dental, vision and life insurance benefits will not be affected by a furlough.</w:t>
      </w:r>
    </w:p>
    <w:p w14:paraId="41DD4ABE"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(4) Employees' continuous service date and e</w:t>
      </w:r>
      <w:r>
        <w:rPr>
          <w:rFonts w:ascii="Times Roman" w:hAnsi="Times Roman" w:cs="Times Roman"/>
        </w:rPr>
        <w:t xml:space="preserve">mployment status will not be affected by any period of furlough. </w:t>
      </w:r>
    </w:p>
    <w:p w14:paraId="61893E74"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 xml:space="preserve">(5) Retirement contributions by both employees and the university will be affected by </w:t>
      </w:r>
      <w:proofErr w:type="gramStart"/>
      <w:r>
        <w:rPr>
          <w:rFonts w:ascii="Times Roman" w:hAnsi="Times Roman" w:cs="Times Roman"/>
        </w:rPr>
        <w:t>furloughs, since</w:t>
      </w:r>
      <w:proofErr w:type="gramEnd"/>
      <w:r>
        <w:rPr>
          <w:rFonts w:ascii="Times Roman" w:hAnsi="Times Roman" w:cs="Times Roman"/>
        </w:rPr>
        <w:t xml:space="preserve"> contributions are based on actual earnings.</w:t>
      </w:r>
    </w:p>
    <w:p w14:paraId="692DC367" w14:textId="77777777" w:rsidR="002763AA" w:rsidRDefault="002763AA" w:rsidP="002763AA">
      <w:pPr>
        <w:spacing w:after="200"/>
        <w:ind w:left="1200" w:hanging="500"/>
        <w:jc w:val="both"/>
        <w:rPr>
          <w:rFonts w:ascii="Times Roman" w:hAnsi="Times Roman" w:cs="Times Roman"/>
        </w:rPr>
      </w:pPr>
      <w:r>
        <w:rPr>
          <w:rFonts w:ascii="Times Roman" w:hAnsi="Times Roman" w:cs="Times Roman"/>
        </w:rPr>
        <w:t>(6) Employees remain responsible for making</w:t>
      </w:r>
      <w:r>
        <w:rPr>
          <w:rFonts w:ascii="Times Roman" w:hAnsi="Times Roman" w:cs="Times Roman"/>
        </w:rPr>
        <w:t xml:space="preserve"> all employee contributions while on furlough, including but not limited to, healthcare, dental, vision, flexible spending accounts, 403(b) and 457(b) contributions, as well as all other miscellaneous authorized deductions (e.g. charitable contributions, c</w:t>
      </w:r>
      <w:r>
        <w:rPr>
          <w:rFonts w:ascii="Times Roman" w:hAnsi="Times Roman" w:cs="Times Roman"/>
        </w:rPr>
        <w:t>hild support or any other university payments).</w:t>
      </w:r>
    </w:p>
    <w:p w14:paraId="30478F96" w14:textId="77777777" w:rsidR="002763AA" w:rsidRPr="002763AA" w:rsidRDefault="002763AA" w:rsidP="002763AA">
      <w:pPr>
        <w:ind w:left="1210" w:hanging="936"/>
        <w:rPr>
          <w:rFonts w:ascii="Times Roman" w:hAnsi="Times Roman" w:cs="Times Roman"/>
          <w:color w:val="auto"/>
        </w:rPr>
      </w:pPr>
      <w:r w:rsidRPr="002763AA">
        <w:rPr>
          <w:rFonts w:ascii="Times Roman" w:hAnsi="Times Roman" w:cs="Times Roman"/>
          <w:color w:val="auto"/>
        </w:rPr>
        <w:t>Effective:</w:t>
      </w: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t>10/14/2023</w:t>
      </w:r>
    </w:p>
    <w:p w14:paraId="445C3EDD" w14:textId="77777777" w:rsidR="002763AA" w:rsidRPr="002763AA" w:rsidRDefault="002763AA" w:rsidP="002763AA">
      <w:pPr>
        <w:ind w:left="1210" w:hanging="936"/>
        <w:rPr>
          <w:rFonts w:ascii="Times Roman" w:hAnsi="Times Roman" w:cs="Times Roman"/>
          <w:color w:val="auto"/>
        </w:rPr>
      </w:pPr>
    </w:p>
    <w:p w14:paraId="21E4882B" w14:textId="77777777" w:rsidR="002763AA" w:rsidRPr="002763AA" w:rsidRDefault="002763AA" w:rsidP="002763AA">
      <w:pPr>
        <w:ind w:left="1210" w:hanging="936"/>
        <w:rPr>
          <w:rFonts w:ascii="Times Roman" w:hAnsi="Times Roman" w:cs="Times Roman"/>
          <w:color w:val="auto"/>
          <w:u w:val="single"/>
        </w:rPr>
      </w:pPr>
      <w:r w:rsidRPr="002763AA">
        <w:rPr>
          <w:rFonts w:ascii="Times Roman" w:hAnsi="Times Roman" w:cs="Times Roman"/>
          <w:color w:val="auto"/>
        </w:rPr>
        <w:t>Certification:</w:t>
      </w: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u w:val="single"/>
        </w:rPr>
        <w:tab/>
      </w:r>
      <w:r w:rsidRPr="002763AA">
        <w:rPr>
          <w:rFonts w:ascii="Times Roman" w:hAnsi="Times Roman" w:cs="Times Roman"/>
          <w:color w:val="auto"/>
          <w:u w:val="single"/>
        </w:rPr>
        <w:tab/>
      </w:r>
      <w:r w:rsidRPr="002763AA">
        <w:rPr>
          <w:rFonts w:ascii="Times Roman" w:hAnsi="Times Roman" w:cs="Times Roman"/>
          <w:color w:val="auto"/>
          <w:u w:val="single"/>
        </w:rPr>
        <w:tab/>
      </w:r>
      <w:r w:rsidRPr="002763AA">
        <w:rPr>
          <w:rFonts w:ascii="Times Roman" w:hAnsi="Times Roman" w:cs="Times Roman"/>
          <w:color w:val="auto"/>
          <w:u w:val="single"/>
        </w:rPr>
        <w:tab/>
      </w:r>
    </w:p>
    <w:p w14:paraId="574891F7" w14:textId="77777777" w:rsidR="002763AA" w:rsidRPr="002763AA" w:rsidRDefault="002763AA" w:rsidP="002763AA">
      <w:pPr>
        <w:ind w:left="1210" w:hanging="936"/>
        <w:rPr>
          <w:rFonts w:ascii="Times Roman" w:hAnsi="Times Roman" w:cs="Times Roman"/>
          <w:color w:val="auto"/>
        </w:rPr>
      </w:pP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t>M. Celeste Cook</w:t>
      </w:r>
    </w:p>
    <w:p w14:paraId="1614A15A" w14:textId="77777777" w:rsidR="002763AA" w:rsidRPr="002763AA" w:rsidRDefault="002763AA" w:rsidP="002763AA">
      <w:pPr>
        <w:ind w:left="1210" w:hanging="936"/>
        <w:rPr>
          <w:rFonts w:ascii="Times Roman" w:hAnsi="Times Roman" w:cs="Times Roman"/>
          <w:color w:val="auto"/>
        </w:rPr>
      </w:pP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t>Secretary</w:t>
      </w:r>
    </w:p>
    <w:p w14:paraId="307EAD66" w14:textId="77777777" w:rsidR="002763AA" w:rsidRPr="002763AA" w:rsidRDefault="002763AA" w:rsidP="002763AA">
      <w:pPr>
        <w:ind w:left="1210" w:hanging="936"/>
        <w:rPr>
          <w:rFonts w:ascii="Times Roman" w:hAnsi="Times Roman" w:cs="Times Roman"/>
          <w:color w:val="auto"/>
        </w:rPr>
      </w:pP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t>Board of Trustees</w:t>
      </w:r>
    </w:p>
    <w:p w14:paraId="06CEE246" w14:textId="77777777" w:rsidR="002763AA" w:rsidRPr="002763AA" w:rsidRDefault="002763AA" w:rsidP="002763AA">
      <w:pPr>
        <w:ind w:left="1210" w:hanging="936"/>
        <w:rPr>
          <w:rFonts w:ascii="Times Roman" w:hAnsi="Times Roman" w:cs="Times Roman"/>
          <w:color w:val="auto"/>
        </w:rPr>
      </w:pPr>
    </w:p>
    <w:p w14:paraId="49CB3E18" w14:textId="77777777" w:rsidR="002763AA" w:rsidRPr="002763AA" w:rsidRDefault="002763AA" w:rsidP="002763AA">
      <w:pPr>
        <w:ind w:left="1210" w:hanging="936"/>
        <w:rPr>
          <w:rFonts w:ascii="Times Roman" w:hAnsi="Times Roman" w:cs="Times Roman"/>
          <w:color w:val="auto"/>
        </w:rPr>
      </w:pPr>
      <w:r w:rsidRPr="002763AA">
        <w:rPr>
          <w:rFonts w:ascii="Times Roman" w:hAnsi="Times Roman" w:cs="Times Roman"/>
          <w:color w:val="auto"/>
        </w:rPr>
        <w:t>Promulgated Under:</w:t>
      </w:r>
      <w:r w:rsidRPr="002763AA">
        <w:rPr>
          <w:rFonts w:ascii="Times Roman" w:hAnsi="Times Roman" w:cs="Times Roman"/>
          <w:color w:val="auto"/>
        </w:rPr>
        <w:tab/>
      </w:r>
      <w:r w:rsidRPr="002763AA">
        <w:rPr>
          <w:rFonts w:ascii="Times Roman" w:hAnsi="Times Roman" w:cs="Times Roman"/>
          <w:color w:val="auto"/>
        </w:rPr>
        <w:tab/>
        <w:t>111.15</w:t>
      </w:r>
    </w:p>
    <w:p w14:paraId="1519EE12" w14:textId="77777777" w:rsidR="002763AA" w:rsidRPr="002763AA" w:rsidRDefault="002763AA" w:rsidP="002763AA">
      <w:pPr>
        <w:ind w:left="1210" w:hanging="936"/>
        <w:rPr>
          <w:rFonts w:ascii="Times Roman" w:hAnsi="Times Roman" w:cs="Times Roman"/>
          <w:color w:val="auto"/>
        </w:rPr>
      </w:pPr>
    </w:p>
    <w:p w14:paraId="1ECEE9BB" w14:textId="77777777" w:rsidR="002763AA" w:rsidRPr="002763AA" w:rsidRDefault="002763AA" w:rsidP="002763AA">
      <w:pPr>
        <w:ind w:left="1210" w:hanging="936"/>
        <w:rPr>
          <w:rFonts w:ascii="Times Roman" w:hAnsi="Times Roman" w:cs="Times Roman"/>
          <w:color w:val="auto"/>
        </w:rPr>
      </w:pPr>
      <w:r w:rsidRPr="002763AA">
        <w:rPr>
          <w:rFonts w:ascii="Times Roman" w:hAnsi="Times Roman" w:cs="Times Roman"/>
          <w:color w:val="auto"/>
        </w:rPr>
        <w:t>Statutory Authority:</w:t>
      </w:r>
      <w:r w:rsidRPr="002763AA">
        <w:rPr>
          <w:rFonts w:ascii="Times Roman" w:hAnsi="Times Roman" w:cs="Times Roman"/>
          <w:color w:val="auto"/>
        </w:rPr>
        <w:tab/>
      </w:r>
      <w:r w:rsidRPr="002763AA">
        <w:rPr>
          <w:rFonts w:ascii="Times Roman" w:hAnsi="Times Roman" w:cs="Times Roman"/>
          <w:color w:val="auto"/>
        </w:rPr>
        <w:tab/>
        <w:t>124:14, 3359.01</w:t>
      </w:r>
    </w:p>
    <w:p w14:paraId="02E95F76" w14:textId="77777777" w:rsidR="002763AA" w:rsidRPr="002763AA" w:rsidRDefault="002763AA" w:rsidP="002763AA">
      <w:pPr>
        <w:ind w:left="1210" w:hanging="936"/>
        <w:rPr>
          <w:rFonts w:ascii="Times Roman" w:hAnsi="Times Roman" w:cs="Times Roman"/>
          <w:color w:val="auto"/>
        </w:rPr>
      </w:pPr>
    </w:p>
    <w:p w14:paraId="4DFFF201" w14:textId="77777777" w:rsidR="002763AA" w:rsidRPr="002763AA" w:rsidRDefault="002763AA" w:rsidP="002763AA">
      <w:pPr>
        <w:ind w:left="1210" w:hanging="936"/>
        <w:rPr>
          <w:rFonts w:ascii="Times Roman" w:hAnsi="Times Roman" w:cs="Times Roman"/>
          <w:color w:val="auto"/>
        </w:rPr>
      </w:pPr>
      <w:r w:rsidRPr="002763AA">
        <w:rPr>
          <w:rFonts w:ascii="Times Roman" w:hAnsi="Times Roman" w:cs="Times Roman"/>
          <w:color w:val="auto"/>
        </w:rPr>
        <w:t>Rule Amplifies:</w:t>
      </w:r>
      <w:r w:rsidRPr="002763AA">
        <w:rPr>
          <w:rFonts w:ascii="Times Roman" w:hAnsi="Times Roman" w:cs="Times Roman"/>
          <w:color w:val="auto"/>
        </w:rPr>
        <w:tab/>
      </w:r>
      <w:r w:rsidRPr="002763AA">
        <w:rPr>
          <w:rFonts w:ascii="Times Roman" w:hAnsi="Times Roman" w:cs="Times Roman"/>
          <w:color w:val="auto"/>
        </w:rPr>
        <w:tab/>
      </w:r>
      <w:r w:rsidRPr="002763AA">
        <w:rPr>
          <w:rFonts w:ascii="Times Roman" w:hAnsi="Times Roman" w:cs="Times Roman"/>
          <w:color w:val="auto"/>
        </w:rPr>
        <w:tab/>
        <w:t>124:14, 3359.01</w:t>
      </w:r>
    </w:p>
    <w:p w14:paraId="6EF3FCC9" w14:textId="77777777" w:rsidR="002763AA" w:rsidRPr="002763AA" w:rsidRDefault="002763AA" w:rsidP="002763AA">
      <w:pPr>
        <w:ind w:left="1210" w:hanging="936"/>
        <w:rPr>
          <w:rFonts w:ascii="Times Roman" w:hAnsi="Times Roman" w:cs="Times Roman"/>
          <w:color w:val="auto"/>
        </w:rPr>
      </w:pPr>
    </w:p>
    <w:p w14:paraId="2135957F" w14:textId="2703B2D1" w:rsidR="002763AA" w:rsidRPr="002763AA" w:rsidRDefault="002763AA" w:rsidP="002763AA">
      <w:pPr>
        <w:ind w:left="1210" w:hanging="936"/>
        <w:rPr>
          <w:rFonts w:ascii="Times New Roman" w:hAnsi="Times New Roman" w:cs="Times New Roman"/>
          <w:color w:val="auto"/>
        </w:rPr>
      </w:pPr>
      <w:r w:rsidRPr="002763AA">
        <w:rPr>
          <w:rFonts w:ascii="Times Roman" w:hAnsi="Times Roman" w:cs="Times Roman"/>
          <w:color w:val="auto"/>
        </w:rPr>
        <w:t>Prior Effective Dates:</w:t>
      </w:r>
      <w:r w:rsidRPr="002763AA">
        <w:rPr>
          <w:rFonts w:ascii="Times Roman" w:hAnsi="Times Roman" w:cs="Times Roman"/>
          <w:color w:val="auto"/>
        </w:rPr>
        <w:tab/>
      </w:r>
      <w:r w:rsidRPr="002763AA">
        <w:rPr>
          <w:rFonts w:ascii="Times Roman" w:hAnsi="Times Roman" w:cs="Times Roman"/>
          <w:color w:val="auto"/>
        </w:rPr>
        <w:tab/>
        <w:t>06/08/2020</w:t>
      </w:r>
    </w:p>
    <w:p w14:paraId="1BAE2967" w14:textId="77777777" w:rsidR="002763AA" w:rsidRDefault="002763AA">
      <w:pPr>
        <w:rPr>
          <w:rFonts w:ascii="Times New Roman" w:hAnsi="Times New Roman" w:cs="Times New Roman"/>
          <w:color w:val="auto"/>
        </w:rPr>
      </w:pPr>
    </w:p>
    <w:sectPr w:rsidR="00000000" w:rsidSect="002763AA">
      <w:headerReference w:type="default" r:id="rId8"/>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2CB2" w14:textId="77777777" w:rsidR="002763AA" w:rsidRDefault="002763AA">
      <w:r>
        <w:separator/>
      </w:r>
    </w:p>
  </w:endnote>
  <w:endnote w:type="continuationSeparator" w:id="0">
    <w:p w14:paraId="53A59970" w14:textId="77777777" w:rsidR="002763AA" w:rsidRDefault="0027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05E0" w14:textId="77777777" w:rsidR="002763AA" w:rsidRDefault="002763AA">
      <w:r>
        <w:separator/>
      </w:r>
    </w:p>
  </w:footnote>
  <w:footnote w:type="continuationSeparator" w:id="0">
    <w:p w14:paraId="2A8BA5A1" w14:textId="77777777" w:rsidR="002763AA" w:rsidRDefault="0027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96A9" w14:textId="0F673BA8" w:rsidR="002763AA" w:rsidRPr="002763AA" w:rsidRDefault="002763AA">
    <w:pPr>
      <w:spacing w:line="320" w:lineRule="atLeast"/>
      <w:jc w:val="center"/>
      <w:rPr>
        <w:rFonts w:ascii="Times New Roman" w:hAnsi="Times New Roman" w:cs="Times New Roman"/>
        <w:color w:val="auto"/>
      </w:rPr>
    </w:pPr>
    <w:r w:rsidRPr="002763AA">
      <w:rPr>
        <w:rFonts w:ascii="Times New Roman" w:hAnsi="Times New Roman" w:cs="Times New Roman"/>
        <w:color w:val="auto"/>
      </w:rPr>
      <w:t>11-02.1</w:t>
    </w:r>
    <w:r w:rsidRPr="002763AA">
      <w:rPr>
        <w:rFonts w:ascii="Times New Roman" w:hAnsi="Times New Roman" w:cs="Times New Roman"/>
        <w:color w:val="auto"/>
      </w:rPr>
      <w:tab/>
    </w:r>
    <w:r w:rsidRPr="002763AA">
      <w:rPr>
        <w:rFonts w:ascii="Times New Roman" w:hAnsi="Times New Roman" w:cs="Times New Roman"/>
        <w:color w:val="auto"/>
      </w:rPr>
      <w:tab/>
    </w:r>
    <w:r w:rsidRPr="002763AA">
      <w:rPr>
        <w:rFonts w:ascii="Times New Roman" w:hAnsi="Times New Roman" w:cs="Times New Roman"/>
        <w:color w:val="auto"/>
      </w:rPr>
      <w:tab/>
    </w:r>
    <w:r w:rsidRPr="002763AA">
      <w:rPr>
        <w:rFonts w:ascii="Times New Roman" w:hAnsi="Times New Roman" w:cs="Times New Roman"/>
        <w:color w:val="auto"/>
      </w:rPr>
      <w:tab/>
    </w:r>
    <w:r w:rsidRPr="002763AA">
      <w:rPr>
        <w:rFonts w:ascii="Times New Roman" w:hAnsi="Times New Roman" w:cs="Times New Roman"/>
        <w:color w:val="auto"/>
      </w:rPr>
      <w:tab/>
    </w:r>
    <w:r w:rsidRPr="002763AA">
      <w:rPr>
        <w:rFonts w:ascii="Times New Roman" w:hAnsi="Times New Roman" w:cs="Times New Roman"/>
        <w:color w:val="auto"/>
      </w:rPr>
      <w:tab/>
    </w:r>
    <w:r w:rsidRPr="002763AA">
      <w:rPr>
        <w:rFonts w:ascii="Times New Roman" w:hAnsi="Times New Roman" w:cs="Times New Roman"/>
        <w:color w:val="auto"/>
      </w:rPr>
      <w:tab/>
    </w:r>
    <w:r w:rsidRPr="002763AA">
      <w:rPr>
        <w:rFonts w:ascii="Times New Roman" w:hAnsi="Times New Roman" w:cs="Times New Roman"/>
        <w:color w:val="auto"/>
      </w:rPr>
      <w:tab/>
    </w:r>
    <w:r w:rsidRPr="002763AA">
      <w:rPr>
        <w:rFonts w:ascii="Times New Roman" w:hAnsi="Times New Roman" w:cs="Times New Roman"/>
        <w:color w:val="auto"/>
      </w:rPr>
      <w:tab/>
    </w:r>
    <w:r w:rsidRPr="002763AA">
      <w:rPr>
        <w:rFonts w:ascii="Times New Roman" w:hAnsi="Times New Roman" w:cs="Times New Roman"/>
        <w:color w:val="auto"/>
      </w:rPr>
      <w:tab/>
    </w:r>
    <w:r w:rsidRPr="002763AA">
      <w:rPr>
        <w:rFonts w:ascii="Times New Roman" w:hAnsi="Times New Roman" w:cs="Times New Roman"/>
        <w:color w:val="auto"/>
      </w:rPr>
      <w:tab/>
    </w:r>
    <w:r w:rsidRPr="002763AA">
      <w:rPr>
        <w:rFonts w:ascii="Times New Roman" w:hAnsi="Times New Roman" w:cs="Times New Roman"/>
        <w:color w:val="auto"/>
      </w:rPr>
      <w:fldChar w:fldCharType="begin"/>
    </w:r>
    <w:r w:rsidRPr="002763AA">
      <w:rPr>
        <w:rFonts w:ascii="Times New Roman" w:hAnsi="Times New Roman" w:cs="Times New Roman"/>
        <w:color w:val="auto"/>
      </w:rPr>
      <w:instrText xml:space="preserve"> PAGE   \* MERGEFORMAT </w:instrText>
    </w:r>
    <w:r w:rsidRPr="002763AA">
      <w:rPr>
        <w:rFonts w:ascii="Times New Roman" w:hAnsi="Times New Roman" w:cs="Times New Roman"/>
        <w:color w:val="auto"/>
      </w:rPr>
      <w:fldChar w:fldCharType="separate"/>
    </w:r>
    <w:r w:rsidRPr="002763AA">
      <w:rPr>
        <w:rFonts w:ascii="Times New Roman" w:hAnsi="Times New Roman" w:cs="Times New Roman"/>
        <w:noProof/>
        <w:color w:val="auto"/>
      </w:rPr>
      <w:t>1</w:t>
    </w:r>
    <w:r w:rsidRPr="002763AA">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3AA"/>
    <w:rsid w:val="0027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B08B6"/>
  <w14:defaultImageDpi w14:val="0"/>
  <w15:docId w15:val="{3B92FC9F-85D2-4070-98F7-72A35264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2763AA"/>
    <w:pPr>
      <w:tabs>
        <w:tab w:val="center" w:pos="4680"/>
        <w:tab w:val="right" w:pos="9360"/>
      </w:tabs>
    </w:pPr>
  </w:style>
  <w:style w:type="character" w:customStyle="1" w:styleId="HeaderChar">
    <w:name w:val="Header Char"/>
    <w:link w:val="Header"/>
    <w:uiPriority w:val="99"/>
    <w:rsid w:val="002763AA"/>
    <w:rPr>
      <w:rFonts w:ascii="Arial" w:hAnsi="Arial" w:cs="Arial"/>
      <w:color w:val="000000"/>
      <w:kern w:val="0"/>
      <w:sz w:val="24"/>
      <w:szCs w:val="24"/>
    </w:rPr>
  </w:style>
  <w:style w:type="paragraph" w:styleId="Footer">
    <w:name w:val="footer"/>
    <w:basedOn w:val="Normal"/>
    <w:link w:val="FooterChar"/>
    <w:uiPriority w:val="99"/>
    <w:unhideWhenUsed/>
    <w:rsid w:val="002763AA"/>
    <w:pPr>
      <w:tabs>
        <w:tab w:val="center" w:pos="4680"/>
        <w:tab w:val="right" w:pos="9360"/>
      </w:tabs>
    </w:pPr>
  </w:style>
  <w:style w:type="character" w:customStyle="1" w:styleId="FooterChar">
    <w:name w:val="Footer Char"/>
    <w:link w:val="Footer"/>
    <w:uiPriority w:val="99"/>
    <w:rsid w:val="002763AA"/>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83CB-42EE-4D09-B4CE-3DA88E0B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2023-10-19T19:51:00Z</dcterms:created>
  <dcterms:modified xsi:type="dcterms:W3CDTF">2023-10-19T19:51:00Z</dcterms:modified>
</cp:coreProperties>
</file>