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D8BB" w14:textId="6F625609" w:rsidR="00FC2287" w:rsidRPr="00FC2287" w:rsidRDefault="00FC2287" w:rsidP="004867EB">
      <w:pPr>
        <w:widowControl w:val="0"/>
        <w:autoSpaceDE w:val="0"/>
        <w:autoSpaceDN w:val="0"/>
        <w:adjustRightInd w:val="0"/>
        <w:jc w:val="center"/>
        <w:rPr>
          <w:rFonts w:cstheme="minorHAnsi"/>
          <w:b/>
          <w:bCs/>
          <w:color w:val="000000" w:themeColor="text1"/>
          <w:sz w:val="36"/>
          <w:szCs w:val="40"/>
        </w:rPr>
      </w:pPr>
      <w:r w:rsidRPr="00FC2287">
        <w:rPr>
          <w:rFonts w:cstheme="minorHAnsi"/>
          <w:b/>
          <w:bCs/>
          <w:color w:val="000000" w:themeColor="text1"/>
          <w:sz w:val="36"/>
          <w:szCs w:val="40"/>
        </w:rPr>
        <w:t>The University of Akron</w:t>
      </w:r>
    </w:p>
    <w:p w14:paraId="1BB30DDD" w14:textId="191F1E9F" w:rsidR="00682AA5" w:rsidRPr="00FC2287" w:rsidRDefault="00FC2287" w:rsidP="00FC2287">
      <w:pPr>
        <w:widowControl w:val="0"/>
        <w:autoSpaceDE w:val="0"/>
        <w:autoSpaceDN w:val="0"/>
        <w:adjustRightInd w:val="0"/>
        <w:jc w:val="center"/>
        <w:rPr>
          <w:rFonts w:cstheme="minorHAnsi"/>
          <w:b/>
          <w:bCs/>
          <w:color w:val="000000" w:themeColor="text1"/>
          <w:sz w:val="36"/>
          <w:szCs w:val="40"/>
        </w:rPr>
      </w:pPr>
      <w:r w:rsidRPr="00FC2287">
        <w:rPr>
          <w:rFonts w:cstheme="minorHAnsi"/>
          <w:b/>
          <w:bCs/>
          <w:color w:val="000000" w:themeColor="text1"/>
          <w:sz w:val="36"/>
          <w:szCs w:val="40"/>
        </w:rPr>
        <w:t>Cummings Center for the History of Psycholog</w:t>
      </w:r>
      <w:r w:rsidRPr="00FC2287">
        <w:rPr>
          <w:rFonts w:cstheme="minorHAnsi"/>
          <w:b/>
          <w:bCs/>
          <w:color w:val="000000" w:themeColor="text1"/>
          <w:sz w:val="36"/>
          <w:szCs w:val="40"/>
        </w:rPr>
        <w:t>y</w:t>
      </w:r>
    </w:p>
    <w:p w14:paraId="15286356" w14:textId="77777777" w:rsidR="00BB5A78" w:rsidRPr="00FC2287" w:rsidRDefault="00BB5A78" w:rsidP="008273CC">
      <w:pPr>
        <w:jc w:val="center"/>
        <w:rPr>
          <w:rFonts w:cstheme="minorHAnsi"/>
          <w:b/>
          <w:bCs/>
          <w:color w:val="000000" w:themeColor="text1"/>
          <w:sz w:val="14"/>
          <w:szCs w:val="14"/>
        </w:rPr>
      </w:pPr>
    </w:p>
    <w:p w14:paraId="03CFEBA8" w14:textId="77777777" w:rsidR="00682AA5" w:rsidRPr="00FC2287" w:rsidRDefault="00CE5EB0" w:rsidP="008273CC">
      <w:pPr>
        <w:jc w:val="center"/>
        <w:rPr>
          <w:rFonts w:cstheme="minorHAnsi"/>
          <w:b/>
          <w:bCs/>
          <w:sz w:val="36"/>
          <w:szCs w:val="36"/>
        </w:rPr>
      </w:pPr>
      <w:r w:rsidRPr="00FC2287">
        <w:rPr>
          <w:rFonts w:cstheme="minorHAnsi"/>
          <w:b/>
          <w:bCs/>
          <w:sz w:val="36"/>
          <w:szCs w:val="36"/>
        </w:rPr>
        <w:t xml:space="preserve">The Ludy T. Benjamin, Jr. </w:t>
      </w:r>
    </w:p>
    <w:p w14:paraId="520F2DB6" w14:textId="55D9138D" w:rsidR="00CE5EB0" w:rsidRPr="00FC2287" w:rsidRDefault="00CE5EB0" w:rsidP="008273CC">
      <w:pPr>
        <w:jc w:val="center"/>
        <w:rPr>
          <w:rFonts w:cstheme="minorHAnsi"/>
          <w:b/>
          <w:bCs/>
          <w:sz w:val="36"/>
          <w:szCs w:val="36"/>
        </w:rPr>
      </w:pPr>
      <w:r w:rsidRPr="00FC2287">
        <w:rPr>
          <w:rFonts w:cstheme="minorHAnsi"/>
          <w:b/>
          <w:bCs/>
          <w:sz w:val="36"/>
          <w:szCs w:val="36"/>
        </w:rPr>
        <w:t>Distinguished Lecture in the History of Psychology</w:t>
      </w:r>
    </w:p>
    <w:p w14:paraId="29F4D6F4" w14:textId="21D2847C" w:rsidR="00CE5EB0" w:rsidRPr="00FC2287" w:rsidRDefault="008273CC" w:rsidP="00CE5EB0">
      <w:pPr>
        <w:jc w:val="center"/>
        <w:rPr>
          <w:rFonts w:cstheme="minorHAnsi"/>
          <w:b/>
          <w:bCs/>
          <w:color w:val="000000" w:themeColor="text1"/>
          <w:sz w:val="36"/>
          <w:szCs w:val="36"/>
        </w:rPr>
      </w:pPr>
      <w:r w:rsidRPr="00FC2287">
        <w:rPr>
          <w:rFonts w:cstheme="minorHAnsi"/>
          <w:b/>
          <w:bCs/>
          <w:color w:val="000000" w:themeColor="text1"/>
          <w:sz w:val="36"/>
          <w:szCs w:val="36"/>
        </w:rPr>
        <w:t>May 16, 2024</w:t>
      </w:r>
    </w:p>
    <w:p w14:paraId="5F8C5CE9" w14:textId="77777777" w:rsidR="00CE5EB0" w:rsidRPr="004D4AF7" w:rsidRDefault="00CE5EB0" w:rsidP="00CE5EB0">
      <w:pPr>
        <w:jc w:val="center"/>
        <w:rPr>
          <w:rFonts w:cstheme="minorHAnsi"/>
          <w:b/>
          <w:bCs/>
          <w:color w:val="000000" w:themeColor="text1"/>
          <w:sz w:val="20"/>
          <w:szCs w:val="20"/>
        </w:rPr>
      </w:pPr>
    </w:p>
    <w:p w14:paraId="3A66A0DE" w14:textId="77777777" w:rsidR="00BB5A78" w:rsidRDefault="00CE5EB0" w:rsidP="004D4AF7">
      <w:pPr>
        <w:jc w:val="center"/>
        <w:rPr>
          <w:rFonts w:cstheme="minorHAnsi"/>
          <w:b/>
          <w:bCs/>
          <w:color w:val="000000" w:themeColor="text1"/>
          <w:sz w:val="32"/>
          <w:szCs w:val="32"/>
        </w:rPr>
      </w:pPr>
      <w:r w:rsidRPr="00682AA5">
        <w:rPr>
          <w:rFonts w:cstheme="minorHAnsi"/>
          <w:b/>
          <w:bCs/>
          <w:color w:val="000000" w:themeColor="text1"/>
          <w:sz w:val="32"/>
          <w:szCs w:val="32"/>
        </w:rPr>
        <w:t>Joseph E. Trimble, PhD</w:t>
      </w:r>
    </w:p>
    <w:p w14:paraId="0BDB4B96" w14:textId="2B92D0F2" w:rsidR="00CE5EB0" w:rsidRPr="00682AA5" w:rsidRDefault="00CE5EB0" w:rsidP="004D4AF7">
      <w:pPr>
        <w:jc w:val="center"/>
        <w:rPr>
          <w:rFonts w:cstheme="minorHAnsi"/>
          <w:b/>
          <w:bCs/>
          <w:color w:val="000000" w:themeColor="text1"/>
          <w:sz w:val="32"/>
          <w:szCs w:val="32"/>
        </w:rPr>
      </w:pPr>
      <w:r w:rsidRPr="00682AA5">
        <w:rPr>
          <w:rFonts w:cstheme="minorHAnsi"/>
          <w:b/>
          <w:bCs/>
          <w:color w:val="000000" w:themeColor="text1"/>
          <w:sz w:val="32"/>
          <w:szCs w:val="32"/>
        </w:rPr>
        <w:t>Bellingham, WA U.S.A.</w:t>
      </w:r>
    </w:p>
    <w:p w14:paraId="6FC014AF" w14:textId="77777777" w:rsidR="00BB5A78" w:rsidRDefault="00CE5EB0" w:rsidP="004D4AF7">
      <w:pPr>
        <w:jc w:val="center"/>
        <w:rPr>
          <w:rFonts w:cstheme="minorHAnsi"/>
          <w:b/>
          <w:bCs/>
          <w:i/>
          <w:iCs/>
          <w:color w:val="000000" w:themeColor="text1"/>
          <w:sz w:val="32"/>
          <w:szCs w:val="32"/>
        </w:rPr>
      </w:pPr>
      <w:r w:rsidRPr="00682AA5">
        <w:rPr>
          <w:rFonts w:cstheme="minorHAnsi"/>
          <w:b/>
          <w:bCs/>
          <w:i/>
          <w:iCs/>
          <w:color w:val="000000" w:themeColor="text1"/>
          <w:sz w:val="32"/>
          <w:szCs w:val="32"/>
        </w:rPr>
        <w:t xml:space="preserve">Tales from the </w:t>
      </w:r>
      <w:r w:rsidR="000F3717" w:rsidRPr="00682AA5">
        <w:rPr>
          <w:rFonts w:cstheme="minorHAnsi"/>
          <w:b/>
          <w:bCs/>
          <w:i/>
          <w:iCs/>
          <w:color w:val="000000" w:themeColor="text1"/>
          <w:sz w:val="32"/>
          <w:szCs w:val="32"/>
        </w:rPr>
        <w:t>Field: Principled</w:t>
      </w:r>
      <w:r w:rsidRPr="00682AA5">
        <w:rPr>
          <w:rFonts w:cstheme="minorHAnsi"/>
          <w:b/>
          <w:bCs/>
          <w:i/>
          <w:iCs/>
          <w:color w:val="000000" w:themeColor="text1"/>
          <w:sz w:val="32"/>
          <w:szCs w:val="32"/>
        </w:rPr>
        <w:t xml:space="preserve"> Perspectives for </w:t>
      </w:r>
    </w:p>
    <w:p w14:paraId="189BAAD7" w14:textId="7AE2F438" w:rsidR="00682AA5" w:rsidRDefault="00CE5EB0" w:rsidP="004D4AF7">
      <w:pPr>
        <w:jc w:val="center"/>
        <w:rPr>
          <w:rFonts w:cstheme="minorHAnsi"/>
          <w:b/>
          <w:bCs/>
          <w:i/>
          <w:iCs/>
          <w:color w:val="000000" w:themeColor="text1"/>
          <w:sz w:val="32"/>
          <w:szCs w:val="32"/>
        </w:rPr>
      </w:pPr>
      <w:r w:rsidRPr="00682AA5">
        <w:rPr>
          <w:rFonts w:cstheme="minorHAnsi"/>
          <w:b/>
          <w:bCs/>
          <w:i/>
          <w:iCs/>
          <w:color w:val="000000" w:themeColor="text1"/>
          <w:sz w:val="32"/>
          <w:szCs w:val="32"/>
        </w:rPr>
        <w:t>Research with Indigenous Communities</w:t>
      </w:r>
    </w:p>
    <w:p w14:paraId="5A94DDB4" w14:textId="77777777" w:rsidR="004D4AF7" w:rsidRPr="004D4AF7" w:rsidRDefault="004D4AF7" w:rsidP="004D4AF7">
      <w:pPr>
        <w:jc w:val="center"/>
        <w:rPr>
          <w:rFonts w:cstheme="minorHAnsi"/>
          <w:b/>
          <w:bCs/>
          <w:i/>
          <w:iCs/>
          <w:color w:val="000000" w:themeColor="text1"/>
          <w:sz w:val="14"/>
          <w:szCs w:val="14"/>
        </w:rPr>
      </w:pPr>
    </w:p>
    <w:p w14:paraId="2B07458B" w14:textId="23C7976A" w:rsidR="004D4AF7" w:rsidRPr="004D4AF7" w:rsidRDefault="00000000" w:rsidP="004D4AF7">
      <w:pPr>
        <w:spacing w:after="240"/>
        <w:jc w:val="center"/>
        <w:rPr>
          <w:rFonts w:cstheme="minorHAnsi"/>
          <w:b/>
          <w:bCs/>
          <w:i/>
          <w:iCs/>
          <w:color w:val="000000" w:themeColor="text1"/>
          <w:sz w:val="20"/>
          <w:szCs w:val="20"/>
        </w:rPr>
      </w:pPr>
      <w:r>
        <w:rPr>
          <w:rFonts w:cstheme="minorHAnsi"/>
          <w:b/>
          <w:bCs/>
          <w:i/>
          <w:iCs/>
          <w:color w:val="000000" w:themeColor="text1"/>
          <w:sz w:val="20"/>
          <w:szCs w:val="20"/>
        </w:rPr>
        <w:pict w14:anchorId="3B08904E">
          <v:rect id="_x0000_i1025" style="width:0;height:1.5pt" o:hralign="center" o:hrstd="t" o:hr="t" fillcolor="#a0a0a0" stroked="f"/>
        </w:pict>
      </w:r>
    </w:p>
    <w:p w14:paraId="26F5A6FD" w14:textId="77777777" w:rsidR="00682AA5" w:rsidRPr="00682AA5" w:rsidRDefault="00682AA5" w:rsidP="00682AA5">
      <w:pPr>
        <w:widowControl w:val="0"/>
        <w:autoSpaceDE w:val="0"/>
        <w:autoSpaceDN w:val="0"/>
        <w:adjustRightInd w:val="0"/>
        <w:jc w:val="center"/>
        <w:rPr>
          <w:rFonts w:cstheme="minorHAnsi"/>
          <w:b/>
          <w:bCs/>
          <w:color w:val="000000" w:themeColor="text1"/>
          <w:sz w:val="28"/>
          <w:szCs w:val="32"/>
        </w:rPr>
      </w:pPr>
      <w:r w:rsidRPr="00682AA5">
        <w:rPr>
          <w:rFonts w:cstheme="minorHAnsi"/>
          <w:b/>
          <w:bCs/>
          <w:color w:val="000000" w:themeColor="text1"/>
          <w:sz w:val="28"/>
          <w:szCs w:val="32"/>
        </w:rPr>
        <w:t>Overview, References, and Selected Readings</w:t>
      </w:r>
    </w:p>
    <w:p w14:paraId="5447C776" w14:textId="4A7EE063" w:rsidR="001161EE" w:rsidRPr="004D4AF7" w:rsidRDefault="001161EE" w:rsidP="001161EE">
      <w:pPr>
        <w:jc w:val="center"/>
        <w:rPr>
          <w:rFonts w:ascii="Arial" w:hAnsi="Arial" w:cs="Arial"/>
          <w:b/>
          <w:bCs/>
          <w:color w:val="000000" w:themeColor="text1"/>
          <w:sz w:val="18"/>
          <w:szCs w:val="18"/>
        </w:rPr>
      </w:pPr>
    </w:p>
    <w:p w14:paraId="4B183288" w14:textId="6F25423C" w:rsidR="001161EE" w:rsidRPr="00F351A6" w:rsidRDefault="001161EE" w:rsidP="001161EE">
      <w:pPr>
        <w:jc w:val="center"/>
        <w:rPr>
          <w:rFonts w:cstheme="minorHAnsi"/>
          <w:b/>
          <w:bCs/>
          <w:color w:val="000000" w:themeColor="text1"/>
          <w:sz w:val="28"/>
          <w:szCs w:val="28"/>
        </w:rPr>
      </w:pPr>
      <w:r w:rsidRPr="00F351A6">
        <w:rPr>
          <w:rFonts w:cstheme="minorHAnsi"/>
          <w:b/>
          <w:bCs/>
          <w:color w:val="000000" w:themeColor="text1"/>
          <w:sz w:val="28"/>
          <w:szCs w:val="28"/>
        </w:rPr>
        <w:t>THEME</w:t>
      </w:r>
      <w:r w:rsidR="00306556" w:rsidRPr="00F351A6">
        <w:rPr>
          <w:rFonts w:cstheme="minorHAnsi"/>
          <w:b/>
          <w:bCs/>
          <w:color w:val="000000" w:themeColor="text1"/>
          <w:sz w:val="28"/>
          <w:szCs w:val="28"/>
        </w:rPr>
        <w:t>S</w:t>
      </w:r>
    </w:p>
    <w:p w14:paraId="2151EFD0" w14:textId="7B0BD8C0" w:rsidR="00F0328E" w:rsidRPr="00F351A6" w:rsidRDefault="00F0328E" w:rsidP="00CE5EB0">
      <w:pPr>
        <w:rPr>
          <w:rFonts w:ascii="Times New Roman" w:hAnsi="Times New Roman" w:cs="Times New Roman"/>
          <w:b/>
          <w:bCs/>
          <w:color w:val="0070C0"/>
          <w:sz w:val="16"/>
          <w:szCs w:val="16"/>
        </w:rPr>
      </w:pPr>
    </w:p>
    <w:p w14:paraId="78D571D7" w14:textId="04D7B9BD" w:rsidR="00682AA5" w:rsidRPr="00F351A6" w:rsidRDefault="00F725CF" w:rsidP="004D4AF7">
      <w:pPr>
        <w:rPr>
          <w:rFonts w:ascii="Calibri" w:hAnsi="Calibri" w:cs="Calibri"/>
          <w:i/>
        </w:rPr>
      </w:pPr>
      <w:r w:rsidRPr="00F351A6">
        <w:rPr>
          <w:rFonts w:ascii="Calibri" w:hAnsi="Calibri" w:cs="Calibri"/>
          <w:i/>
          <w:noProof/>
        </w:rPr>
        <w:drawing>
          <wp:anchor distT="0" distB="0" distL="114300" distR="114300" simplePos="0" relativeHeight="251658240" behindDoc="0" locked="0" layoutInCell="1" allowOverlap="1" wp14:anchorId="521A1E24" wp14:editId="079F3DDF">
            <wp:simplePos x="0" y="0"/>
            <wp:positionH relativeFrom="column">
              <wp:posOffset>-71755</wp:posOffset>
            </wp:positionH>
            <wp:positionV relativeFrom="paragraph">
              <wp:posOffset>55245</wp:posOffset>
            </wp:positionV>
            <wp:extent cx="652145" cy="826135"/>
            <wp:effectExtent l="0" t="0" r="0" b="0"/>
            <wp:wrapThrough wrapText="bothSides">
              <wp:wrapPolygon edited="1">
                <wp:start x="0" y="0"/>
                <wp:lineTo x="790" y="26656"/>
                <wp:lineTo x="21295" y="27696"/>
                <wp:lineTo x="21032" y="0"/>
                <wp:lineTo x="0" y="0"/>
              </wp:wrapPolygon>
            </wp:wrapThrough>
            <wp:docPr id="2" name="Picture 2" descr="Macintosh HD:Users:joe:Desktop:m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Desktop:m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145"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1A6">
        <w:rPr>
          <w:rFonts w:ascii="Calibri" w:hAnsi="Calibri" w:cs="Calibri"/>
          <w:i/>
        </w:rPr>
        <w:t>“Never look for a psychological explanation unless every effort to find a cultural one has been exhausted</w:t>
      </w:r>
      <w:r w:rsidR="00682AA5" w:rsidRPr="00F351A6">
        <w:rPr>
          <w:rFonts w:ascii="Calibri" w:hAnsi="Calibri" w:cs="Calibri"/>
          <w:i/>
        </w:rPr>
        <w:t>.</w:t>
      </w:r>
      <w:r w:rsidRPr="00F351A6">
        <w:rPr>
          <w:rFonts w:ascii="Calibri" w:hAnsi="Calibri" w:cs="Calibri"/>
          <w:i/>
        </w:rPr>
        <w:t xml:space="preserve">” </w:t>
      </w:r>
    </w:p>
    <w:p w14:paraId="3E47E7AD" w14:textId="12C6B232" w:rsidR="00F725CF" w:rsidRDefault="004D4AF7" w:rsidP="004D4AF7">
      <w:pPr>
        <w:ind w:firstLine="720"/>
        <w:jc w:val="both"/>
        <w:rPr>
          <w:rFonts w:ascii="Calibri" w:hAnsi="Calibri" w:cs="Calibri"/>
        </w:rPr>
      </w:pPr>
      <w:r>
        <w:rPr>
          <w:rFonts w:ascii="Calibri" w:hAnsi="Calibri" w:cs="Calibri"/>
        </w:rPr>
        <w:t xml:space="preserve">- </w:t>
      </w:r>
      <w:r w:rsidR="00F725CF" w:rsidRPr="00F351A6">
        <w:rPr>
          <w:rFonts w:ascii="Calibri" w:hAnsi="Calibri" w:cs="Calibri"/>
        </w:rPr>
        <w:t xml:space="preserve">Margaret Mead, 1959, p. 16. </w:t>
      </w:r>
    </w:p>
    <w:p w14:paraId="5D056132" w14:textId="77777777" w:rsidR="004D4AF7" w:rsidRPr="00F351A6" w:rsidRDefault="004D4AF7" w:rsidP="004D4AF7">
      <w:pPr>
        <w:ind w:firstLine="720"/>
        <w:jc w:val="both"/>
        <w:rPr>
          <w:rFonts w:ascii="Calibri" w:hAnsi="Calibri" w:cs="Calibri"/>
          <w:i/>
        </w:rPr>
      </w:pPr>
    </w:p>
    <w:p w14:paraId="4D180A43" w14:textId="1F92AB34" w:rsidR="00682AA5" w:rsidRPr="00F351A6" w:rsidRDefault="00F725CF" w:rsidP="000763FB">
      <w:pPr>
        <w:jc w:val="both"/>
        <w:rPr>
          <w:rFonts w:ascii="Calibri" w:hAnsi="Calibri" w:cs="Calibri"/>
          <w:i/>
        </w:rPr>
      </w:pPr>
      <w:r w:rsidRPr="00F351A6">
        <w:rPr>
          <w:rFonts w:ascii="Calibri" w:hAnsi="Calibri" w:cs="Calibri"/>
          <w:i/>
        </w:rPr>
        <w:t>“The way to do fieldwork is never to come up for air until it is all over.”</w:t>
      </w:r>
    </w:p>
    <w:p w14:paraId="7ED85CC6" w14:textId="2D276005" w:rsidR="000763FB" w:rsidRPr="00F351A6" w:rsidRDefault="004D4AF7" w:rsidP="004D4AF7">
      <w:pPr>
        <w:ind w:left="720" w:firstLine="720"/>
        <w:jc w:val="both"/>
        <w:rPr>
          <w:rFonts w:ascii="Calibri" w:hAnsi="Calibri" w:cs="Calibri"/>
        </w:rPr>
      </w:pPr>
      <w:r>
        <w:rPr>
          <w:rFonts w:ascii="Calibri" w:hAnsi="Calibri" w:cs="Calibri"/>
        </w:rPr>
        <w:t xml:space="preserve">- </w:t>
      </w:r>
      <w:r w:rsidR="00F725CF" w:rsidRPr="00F351A6">
        <w:rPr>
          <w:rFonts w:ascii="Calibri" w:hAnsi="Calibri" w:cs="Calibri"/>
        </w:rPr>
        <w:t>Letter from New Guinea, quoted by Jane Howard, 1984</w:t>
      </w:r>
      <w:r w:rsidR="00D34034" w:rsidRPr="00F351A6">
        <w:rPr>
          <w:rFonts w:ascii="Calibri" w:hAnsi="Calibri" w:cs="Calibri"/>
        </w:rPr>
        <w:tab/>
      </w:r>
    </w:p>
    <w:p w14:paraId="0D672CB6" w14:textId="2DF9A19B" w:rsidR="00F725CF" w:rsidRPr="00F351A6" w:rsidRDefault="00785130" w:rsidP="000763FB">
      <w:pPr>
        <w:jc w:val="both"/>
        <w:rPr>
          <w:rFonts w:ascii="Calibri" w:hAnsi="Calibri" w:cs="Calibri"/>
        </w:rPr>
      </w:pPr>
      <w:r w:rsidRPr="00F351A6">
        <w:rPr>
          <w:rFonts w:ascii="Calibri" w:eastAsia="Wawati SC Regular" w:hAnsi="Calibri" w:cs="Calibri"/>
          <w:i/>
          <w:noProof/>
        </w:rPr>
        <w:drawing>
          <wp:anchor distT="0" distB="0" distL="114300" distR="114300" simplePos="0" relativeHeight="251658241" behindDoc="0" locked="0" layoutInCell="1" allowOverlap="1" wp14:anchorId="49EAD7AB" wp14:editId="19A8A12F">
            <wp:simplePos x="0" y="0"/>
            <wp:positionH relativeFrom="column">
              <wp:posOffset>-51473</wp:posOffset>
            </wp:positionH>
            <wp:positionV relativeFrom="paragraph">
              <wp:posOffset>198755</wp:posOffset>
            </wp:positionV>
            <wp:extent cx="647065" cy="850265"/>
            <wp:effectExtent l="0" t="0" r="635" b="635"/>
            <wp:wrapThrough wrapText="bothSides">
              <wp:wrapPolygon edited="0">
                <wp:start x="0" y="0"/>
                <wp:lineTo x="0" y="21294"/>
                <wp:lineTo x="21197" y="21294"/>
                <wp:lineTo x="21197" y="0"/>
                <wp:lineTo x="0" y="0"/>
              </wp:wrapPolygon>
            </wp:wrapThrough>
            <wp:docPr id="11" name="Picture 11" descr="Macintosh HD:Users:joe:Desktop:av158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e:Desktop:av158_l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06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0B3C9" w14:textId="3BBD6ABE" w:rsidR="00682AA5" w:rsidRPr="00F351A6" w:rsidRDefault="00F725CF" w:rsidP="004D4AF7">
      <w:pPr>
        <w:rPr>
          <w:rFonts w:ascii="Calibri" w:eastAsia="Wawati SC Regular" w:hAnsi="Calibri" w:cs="Calibri"/>
          <w:bCs/>
        </w:rPr>
      </w:pPr>
      <w:r w:rsidRPr="00F351A6">
        <w:rPr>
          <w:rFonts w:ascii="Calibri" w:eastAsia="Wawati SC Regular" w:hAnsi="Calibri" w:cs="Calibri"/>
          <w:i/>
        </w:rPr>
        <w:t xml:space="preserve">“Malinowski was most insistent that every culture be understood in its own terms, that every institution be seen as a product of the culture within which it developed. It follows from this that a cross-cultural comparison of institutions is essentially a false enterprise, for we are comparing </w:t>
      </w:r>
      <w:proofErr w:type="spellStart"/>
      <w:r w:rsidRPr="00F351A6">
        <w:rPr>
          <w:rFonts w:ascii="Calibri" w:eastAsia="Wawati SC Regular" w:hAnsi="Calibri" w:cs="Calibri"/>
          <w:i/>
        </w:rPr>
        <w:t>incomparables</w:t>
      </w:r>
      <w:proofErr w:type="spellEnd"/>
      <w:r w:rsidR="00682AA5" w:rsidRPr="00F351A6">
        <w:rPr>
          <w:rFonts w:ascii="Calibri" w:eastAsia="Wawati SC Regular" w:hAnsi="Calibri" w:cs="Calibri"/>
          <w:i/>
        </w:rPr>
        <w:t>.</w:t>
      </w:r>
      <w:r w:rsidRPr="00F351A6">
        <w:rPr>
          <w:rFonts w:ascii="Calibri" w:eastAsia="Wawati SC Regular" w:hAnsi="Calibri" w:cs="Calibri"/>
          <w:i/>
        </w:rPr>
        <w:t>”</w:t>
      </w:r>
    </w:p>
    <w:p w14:paraId="4A2AE9FB" w14:textId="183E033A" w:rsidR="00F725CF" w:rsidRPr="00F351A6" w:rsidRDefault="004D4AF7" w:rsidP="004D4AF7">
      <w:pPr>
        <w:ind w:firstLine="720"/>
        <w:jc w:val="both"/>
        <w:rPr>
          <w:rFonts w:ascii="Calibri" w:eastAsia="Wawati SC Regular" w:hAnsi="Calibri" w:cs="Calibri"/>
          <w:bCs/>
        </w:rPr>
      </w:pPr>
      <w:r>
        <w:rPr>
          <w:rFonts w:ascii="Calibri" w:eastAsia="Wawati SC Regular" w:hAnsi="Calibri" w:cs="Calibri"/>
          <w:bCs/>
        </w:rPr>
        <w:t xml:space="preserve">- </w:t>
      </w:r>
      <w:r w:rsidR="00F725CF" w:rsidRPr="00F351A6">
        <w:rPr>
          <w:rFonts w:ascii="Calibri" w:eastAsia="Wawati SC Regular" w:hAnsi="Calibri" w:cs="Calibri"/>
          <w:bCs/>
        </w:rPr>
        <w:t>Walter Goldschmidt, 1966, p. 8.</w:t>
      </w:r>
    </w:p>
    <w:p w14:paraId="6B5F0DEF" w14:textId="692D1AF5" w:rsidR="00F725CF" w:rsidRPr="00F351A6" w:rsidRDefault="004D4AF7" w:rsidP="00F725CF">
      <w:pPr>
        <w:rPr>
          <w:rFonts w:ascii="Calibri" w:hAnsi="Calibri" w:cs="Calibri"/>
        </w:rPr>
      </w:pPr>
      <w:r w:rsidRPr="00F351A6">
        <w:rPr>
          <w:rFonts w:ascii="Calibri" w:hAnsi="Calibri" w:cs="Calibri"/>
          <w:i/>
          <w:noProof/>
        </w:rPr>
        <w:drawing>
          <wp:anchor distT="0" distB="0" distL="114300" distR="114300" simplePos="0" relativeHeight="251658243" behindDoc="0" locked="0" layoutInCell="1" allowOverlap="1" wp14:anchorId="00EC16CB" wp14:editId="028A1DA0">
            <wp:simplePos x="0" y="0"/>
            <wp:positionH relativeFrom="column">
              <wp:posOffset>-48260</wp:posOffset>
            </wp:positionH>
            <wp:positionV relativeFrom="paragraph">
              <wp:posOffset>196215</wp:posOffset>
            </wp:positionV>
            <wp:extent cx="659765" cy="810895"/>
            <wp:effectExtent l="0" t="0" r="6985" b="8255"/>
            <wp:wrapThrough wrapText="bothSides">
              <wp:wrapPolygon edited="1">
                <wp:start x="0" y="0"/>
                <wp:lineTo x="0" y="21312"/>
                <wp:lineTo x="22246" y="21312"/>
                <wp:lineTo x="22507" y="0"/>
                <wp:lineTo x="0" y="0"/>
              </wp:wrapPolygon>
            </wp:wrapThrough>
            <wp:docPr id="13" name="Picture 13" descr="Macintosh HD:Users:joe:Desktop:powderm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oe:Desktop:powdermak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976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7CD70" w14:textId="62F7ACD7" w:rsidR="00682AA5" w:rsidRPr="00F351A6" w:rsidRDefault="00F725CF" w:rsidP="004D4AF7">
      <w:pPr>
        <w:rPr>
          <w:rFonts w:ascii="Calibri" w:hAnsi="Calibri" w:cs="Calibri"/>
        </w:rPr>
      </w:pPr>
      <w:r w:rsidRPr="00F351A6">
        <w:rPr>
          <w:rFonts w:ascii="Calibri" w:hAnsi="Calibri" w:cs="Calibri"/>
          <w:i/>
        </w:rPr>
        <w:t xml:space="preserve">“This was my first night in Lesu alone. As I sat on the veranda of my </w:t>
      </w:r>
      <w:r w:rsidR="00407E3D" w:rsidRPr="00F351A6">
        <w:rPr>
          <w:rFonts w:ascii="Calibri" w:hAnsi="Calibri" w:cs="Calibri"/>
          <w:i/>
        </w:rPr>
        <w:t>thatch</w:t>
      </w:r>
      <w:r w:rsidRPr="00F351A6">
        <w:rPr>
          <w:rFonts w:ascii="Calibri" w:hAnsi="Calibri" w:cs="Calibri"/>
          <w:i/>
        </w:rPr>
        <w:t xml:space="preserve">-roofed, two-room house in the early evening I felt uncertain and scared not of </w:t>
      </w:r>
      <w:r w:rsidR="00795A35" w:rsidRPr="00F351A6">
        <w:rPr>
          <w:rFonts w:ascii="Calibri" w:hAnsi="Calibri" w:cs="Calibri"/>
          <w:i/>
        </w:rPr>
        <w:t>anything, but</w:t>
      </w:r>
      <w:r w:rsidRPr="00F351A6">
        <w:rPr>
          <w:rFonts w:ascii="Calibri" w:hAnsi="Calibri" w:cs="Calibri"/>
          <w:i/>
        </w:rPr>
        <w:t xml:space="preserve"> just of being alone in a native village. I asked myself, ‘What on earth am I doing here, all alone and at the edge of the world?”</w:t>
      </w:r>
    </w:p>
    <w:p w14:paraId="41E5E402" w14:textId="04E4C165" w:rsidR="00682AA5" w:rsidRDefault="00BB5A78" w:rsidP="004D4AF7">
      <w:pPr>
        <w:ind w:firstLine="720"/>
        <w:jc w:val="both"/>
        <w:rPr>
          <w:rFonts w:ascii="Calibri" w:hAnsi="Calibri" w:cs="Calibri"/>
        </w:rPr>
      </w:pPr>
      <w:r>
        <w:rPr>
          <w:rFonts w:ascii="Calibri" w:hAnsi="Calibri" w:cs="Calibri"/>
        </w:rPr>
        <w:t xml:space="preserve">- </w:t>
      </w:r>
      <w:r w:rsidR="00F725CF" w:rsidRPr="00F351A6">
        <w:rPr>
          <w:rFonts w:ascii="Calibri" w:hAnsi="Calibri" w:cs="Calibri"/>
        </w:rPr>
        <w:t>Hortense Powdermaker 196</w:t>
      </w:r>
      <w:r w:rsidR="004846FA" w:rsidRPr="00F351A6">
        <w:rPr>
          <w:rFonts w:ascii="Calibri" w:hAnsi="Calibri" w:cs="Calibri"/>
        </w:rPr>
        <w:t>7</w:t>
      </w:r>
      <w:r w:rsidR="00F725CF" w:rsidRPr="00F351A6">
        <w:rPr>
          <w:rFonts w:ascii="Calibri" w:hAnsi="Calibri" w:cs="Calibri"/>
        </w:rPr>
        <w:t>, p. 51.</w:t>
      </w:r>
    </w:p>
    <w:p w14:paraId="0D3A729F" w14:textId="5E89392F" w:rsidR="004D4AF7" w:rsidRPr="004D4AF7" w:rsidRDefault="004D4AF7" w:rsidP="004D4AF7">
      <w:pPr>
        <w:ind w:firstLine="720"/>
        <w:jc w:val="both"/>
        <w:rPr>
          <w:rFonts w:ascii="Calibri" w:hAnsi="Calibri" w:cs="Calibri"/>
        </w:rPr>
      </w:pPr>
      <w:r w:rsidRPr="00F351A6">
        <w:rPr>
          <w:rFonts w:ascii="Calibri" w:hAnsi="Calibri" w:cs="Calibri"/>
          <w:noProof/>
        </w:rPr>
        <w:drawing>
          <wp:anchor distT="0" distB="0" distL="114300" distR="114300" simplePos="0" relativeHeight="251658244" behindDoc="0" locked="0" layoutInCell="1" allowOverlap="1" wp14:anchorId="508D3E86" wp14:editId="3B8192B7">
            <wp:simplePos x="0" y="0"/>
            <wp:positionH relativeFrom="margin">
              <wp:posOffset>-22529</wp:posOffset>
            </wp:positionH>
            <wp:positionV relativeFrom="paragraph">
              <wp:posOffset>186055</wp:posOffset>
            </wp:positionV>
            <wp:extent cx="619760" cy="572135"/>
            <wp:effectExtent l="0" t="0" r="8890" b="0"/>
            <wp:wrapThrough wrapText="bothSides">
              <wp:wrapPolygon edited="0">
                <wp:start x="0" y="0"/>
                <wp:lineTo x="0" y="20857"/>
                <wp:lineTo x="21246" y="20857"/>
                <wp:lineTo x="21246" y="0"/>
                <wp:lineTo x="0" y="0"/>
              </wp:wrapPolygon>
            </wp:wrapThrough>
            <wp:docPr id="3" name="Picture 3"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 and ti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9760" cy="572135"/>
                    </a:xfrm>
                    <a:prstGeom prst="rect">
                      <a:avLst/>
                    </a:prstGeom>
                  </pic:spPr>
                </pic:pic>
              </a:graphicData>
            </a:graphic>
            <wp14:sizeRelH relativeFrom="page">
              <wp14:pctWidth>0</wp14:pctWidth>
            </wp14:sizeRelH>
            <wp14:sizeRelV relativeFrom="page">
              <wp14:pctHeight>0</wp14:pctHeight>
            </wp14:sizeRelV>
          </wp:anchor>
        </w:drawing>
      </w:r>
    </w:p>
    <w:p w14:paraId="03557171" w14:textId="1CED8161" w:rsidR="00682AA5" w:rsidRPr="00F351A6" w:rsidRDefault="00F725CF" w:rsidP="00F725CF">
      <w:pPr>
        <w:jc w:val="both"/>
        <w:rPr>
          <w:rFonts w:ascii="Calibri" w:hAnsi="Calibri" w:cs="Calibri"/>
          <w:i/>
          <w:iCs/>
        </w:rPr>
      </w:pPr>
      <w:r w:rsidRPr="00F351A6">
        <w:rPr>
          <w:rFonts w:ascii="Calibri" w:hAnsi="Calibri" w:cs="Calibri"/>
          <w:i/>
          <w:iCs/>
        </w:rPr>
        <w:t xml:space="preserve">“There is nothing in a caterpillar that tells you it’s going to be a butterfly.” </w:t>
      </w:r>
    </w:p>
    <w:p w14:paraId="31D49199" w14:textId="51C42AFF" w:rsidR="00F725CF" w:rsidRPr="00F351A6" w:rsidRDefault="00BB5A78" w:rsidP="004D4AF7">
      <w:pPr>
        <w:ind w:left="1368" w:firstLine="540"/>
        <w:jc w:val="both"/>
        <w:rPr>
          <w:rFonts w:ascii="Calibri" w:hAnsi="Calibri" w:cs="Calibri"/>
        </w:rPr>
      </w:pPr>
      <w:r>
        <w:rPr>
          <w:rFonts w:ascii="Calibri" w:hAnsi="Calibri" w:cs="Calibri"/>
        </w:rPr>
        <w:t xml:space="preserve">- </w:t>
      </w:r>
      <w:r w:rsidR="00F725CF" w:rsidRPr="00F351A6">
        <w:rPr>
          <w:rFonts w:ascii="Calibri" w:hAnsi="Calibri" w:cs="Calibri"/>
        </w:rPr>
        <w:t>R. Buckminster Fuller, 1995-1983.</w:t>
      </w:r>
    </w:p>
    <w:p w14:paraId="42E2703A" w14:textId="18846A6B" w:rsidR="00F725CF" w:rsidRPr="00F351A6" w:rsidRDefault="00F725CF" w:rsidP="00F725CF">
      <w:pPr>
        <w:jc w:val="both"/>
        <w:rPr>
          <w:rFonts w:ascii="Calibri" w:hAnsi="Calibri" w:cs="Calibri"/>
        </w:rPr>
      </w:pPr>
    </w:p>
    <w:p w14:paraId="5BE0565A" w14:textId="2F346A64" w:rsidR="00F725CF" w:rsidRPr="00F351A6" w:rsidRDefault="00682AA5" w:rsidP="00F725CF">
      <w:pPr>
        <w:rPr>
          <w:rFonts w:ascii="Calibri" w:hAnsi="Calibri" w:cs="Calibri"/>
          <w:bCs/>
        </w:rPr>
      </w:pPr>
      <w:r w:rsidRPr="00F351A6">
        <w:rPr>
          <w:rFonts w:ascii="Calibri" w:hAnsi="Calibri" w:cs="Calibri"/>
          <w:i/>
          <w:noProof/>
        </w:rPr>
        <w:lastRenderedPageBreak/>
        <w:drawing>
          <wp:anchor distT="0" distB="0" distL="114300" distR="114300" simplePos="0" relativeHeight="251658242" behindDoc="0" locked="0" layoutInCell="1" allowOverlap="1" wp14:anchorId="2DA9A7D7" wp14:editId="3F75638F">
            <wp:simplePos x="0" y="0"/>
            <wp:positionH relativeFrom="column">
              <wp:posOffset>-51076</wp:posOffset>
            </wp:positionH>
            <wp:positionV relativeFrom="paragraph">
              <wp:posOffset>207590</wp:posOffset>
            </wp:positionV>
            <wp:extent cx="609600" cy="852805"/>
            <wp:effectExtent l="0" t="0" r="0" b="4445"/>
            <wp:wrapThrough wrapText="bothSides">
              <wp:wrapPolygon edited="1">
                <wp:start x="0" y="0"/>
                <wp:lineTo x="0" y="32307"/>
                <wp:lineTo x="20836" y="31501"/>
                <wp:lineTo x="20700" y="0"/>
                <wp:lineTo x="0" y="0"/>
              </wp:wrapPolygon>
            </wp:wrapThrough>
            <wp:docPr id="12" name="Picture 12" descr="Macintosh HD:Users:joe:Desktop: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e:Desktop:pa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FDD2B" w14:textId="57ECB6FA" w:rsidR="00682AA5" w:rsidRPr="00F351A6" w:rsidRDefault="00F725CF" w:rsidP="004D4AF7">
      <w:pPr>
        <w:widowControl w:val="0"/>
        <w:autoSpaceDE w:val="0"/>
        <w:autoSpaceDN w:val="0"/>
        <w:adjustRightInd w:val="0"/>
        <w:ind w:left="900"/>
        <w:rPr>
          <w:rFonts w:ascii="Calibri" w:hAnsi="Calibri" w:cs="Calibri"/>
        </w:rPr>
      </w:pPr>
      <w:r w:rsidRPr="00F351A6">
        <w:rPr>
          <w:rFonts w:ascii="Calibri" w:hAnsi="Calibri" w:cs="Calibri"/>
          <w:i/>
        </w:rPr>
        <w:t xml:space="preserve">“What sets worlds in motion is the interplay of differences, their </w:t>
      </w:r>
      <w:proofErr w:type="gramStart"/>
      <w:r w:rsidRPr="00F351A6">
        <w:rPr>
          <w:rFonts w:ascii="Calibri" w:hAnsi="Calibri" w:cs="Calibri"/>
          <w:i/>
        </w:rPr>
        <w:t>attractions</w:t>
      </w:r>
      <w:proofErr w:type="gramEnd"/>
      <w:r w:rsidRPr="00F351A6">
        <w:rPr>
          <w:rFonts w:ascii="Calibri" w:hAnsi="Calibri" w:cs="Calibri"/>
          <w:i/>
        </w:rPr>
        <w:t xml:space="preserve"> and repulsions. Life is plurality, death is uniformity. By suppressing differences and peculiarities, by eliminating different civilizations and cultures, progress weakens life and favors death. The ideal of a single civilization for everyone, implicit in the cult of progress and technique, impoverishes and mutilates us. Every view of the world that becomes extinct, every culture that disappears, diminishes a possibility of life.”</w:t>
      </w:r>
      <w:r w:rsidRPr="00F351A6">
        <w:rPr>
          <w:rFonts w:ascii="Calibri" w:hAnsi="Calibri" w:cs="Calibri"/>
        </w:rPr>
        <w:t xml:space="preserve"> </w:t>
      </w:r>
    </w:p>
    <w:p w14:paraId="485DB235" w14:textId="6D076482" w:rsidR="00F725CF" w:rsidRPr="00F351A6" w:rsidRDefault="00BB5A78" w:rsidP="00BB5A78">
      <w:pPr>
        <w:widowControl w:val="0"/>
        <w:autoSpaceDE w:val="0"/>
        <w:autoSpaceDN w:val="0"/>
        <w:adjustRightInd w:val="0"/>
        <w:ind w:left="1872"/>
        <w:jc w:val="both"/>
        <w:rPr>
          <w:rFonts w:ascii="Calibri" w:hAnsi="Calibri" w:cs="Calibri"/>
        </w:rPr>
      </w:pPr>
      <w:r>
        <w:rPr>
          <w:rFonts w:ascii="Calibri" w:hAnsi="Calibri" w:cs="Calibri"/>
        </w:rPr>
        <w:t xml:space="preserve">- </w:t>
      </w:r>
      <w:r w:rsidR="0002147D" w:rsidRPr="00F351A6">
        <w:rPr>
          <w:rFonts w:ascii="Calibri" w:hAnsi="Calibri" w:cs="Calibri"/>
        </w:rPr>
        <w:t>Hoy 19</w:t>
      </w:r>
      <w:r w:rsidR="00485230" w:rsidRPr="00F351A6">
        <w:rPr>
          <w:rFonts w:ascii="Calibri" w:hAnsi="Calibri" w:cs="Calibri"/>
        </w:rPr>
        <w:t>82</w:t>
      </w:r>
      <w:r w:rsidR="0002147D" w:rsidRPr="00F351A6">
        <w:rPr>
          <w:rFonts w:ascii="Calibri" w:hAnsi="Calibri" w:cs="Calibri"/>
        </w:rPr>
        <w:t xml:space="preserve">; </w:t>
      </w:r>
      <w:r w:rsidR="00F725CF" w:rsidRPr="00F351A6">
        <w:rPr>
          <w:rFonts w:ascii="Calibri" w:hAnsi="Calibri" w:cs="Calibri"/>
        </w:rPr>
        <w:t>Octavio Paz.</w:t>
      </w:r>
    </w:p>
    <w:p w14:paraId="530AE33A" w14:textId="77777777" w:rsidR="005003B8" w:rsidRPr="00F351A6" w:rsidRDefault="005003B8" w:rsidP="00F725CF">
      <w:pPr>
        <w:widowControl w:val="0"/>
        <w:autoSpaceDE w:val="0"/>
        <w:autoSpaceDN w:val="0"/>
        <w:adjustRightInd w:val="0"/>
        <w:jc w:val="both"/>
        <w:rPr>
          <w:rFonts w:ascii="Calibri" w:hAnsi="Calibri" w:cs="Calibri"/>
        </w:rPr>
      </w:pPr>
    </w:p>
    <w:p w14:paraId="5DFD6DFF" w14:textId="7368EC00" w:rsidR="00682AA5" w:rsidRPr="00F351A6" w:rsidRDefault="005003B8" w:rsidP="004D4AF7">
      <w:pPr>
        <w:rPr>
          <w:rFonts w:ascii="Calibri" w:hAnsi="Calibri" w:cs="Calibri"/>
          <w:i/>
          <w:iCs/>
        </w:rPr>
      </w:pPr>
      <w:r w:rsidRPr="00F351A6">
        <w:rPr>
          <w:rFonts w:ascii="Calibri" w:hAnsi="Calibri" w:cs="Calibri"/>
          <w:i/>
          <w:iCs/>
          <w:noProof/>
        </w:rPr>
        <w:drawing>
          <wp:anchor distT="0" distB="0" distL="114300" distR="114300" simplePos="0" relativeHeight="251658245" behindDoc="1" locked="0" layoutInCell="1" allowOverlap="1" wp14:anchorId="530FC6EB" wp14:editId="64ED66B5">
            <wp:simplePos x="0" y="0"/>
            <wp:positionH relativeFrom="column">
              <wp:posOffset>-48260</wp:posOffset>
            </wp:positionH>
            <wp:positionV relativeFrom="paragraph">
              <wp:posOffset>53975</wp:posOffset>
            </wp:positionV>
            <wp:extent cx="608965" cy="792480"/>
            <wp:effectExtent l="0" t="0" r="635" b="7620"/>
            <wp:wrapTight wrapText="bothSides">
              <wp:wrapPolygon edited="1">
                <wp:start x="0" y="0"/>
                <wp:lineTo x="0" y="29523"/>
                <wp:lineTo x="21229" y="29523"/>
                <wp:lineTo x="20947" y="0"/>
                <wp:lineTo x="0" y="0"/>
              </wp:wrapPolygon>
            </wp:wrapTight>
            <wp:docPr id="1568775197" name="Picture 6" descr="clifford_geertz-for-Web.jpg">
              <a:extLst xmlns:a="http://schemas.openxmlformats.org/drawingml/2006/main">
                <a:ext uri="{FF2B5EF4-FFF2-40B4-BE49-F238E27FC236}">
                  <a16:creationId xmlns:a16="http://schemas.microsoft.com/office/drawing/2014/main" id="{C564134D-2141-7280-E981-EB60620931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lifford_geertz-for-Web.jpg">
                      <a:extLst>
                        <a:ext uri="{FF2B5EF4-FFF2-40B4-BE49-F238E27FC236}">
                          <a16:creationId xmlns:a16="http://schemas.microsoft.com/office/drawing/2014/main" id="{C564134D-2141-7280-E981-EB606209314B}"/>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8965" cy="792480"/>
                    </a:xfrm>
                    <a:prstGeom prst="rect">
                      <a:avLst/>
                    </a:prstGeom>
                    <a:noFill/>
                    <a:ln>
                      <a:noFill/>
                    </a:ln>
                  </pic:spPr>
                </pic:pic>
              </a:graphicData>
            </a:graphic>
            <wp14:sizeRelH relativeFrom="margin">
              <wp14:pctWidth>0</wp14:pctWidth>
            </wp14:sizeRelH>
          </wp:anchor>
        </w:drawing>
      </w:r>
      <w:r w:rsidRPr="00F351A6">
        <w:rPr>
          <w:rFonts w:ascii="Calibri" w:hAnsi="Calibri" w:cs="Calibri"/>
          <w:i/>
          <w:iCs/>
        </w:rPr>
        <w:t>“The Western conception of the person as a bounded, unique, more or less integrated</w:t>
      </w:r>
      <w:r w:rsidR="00682AA5" w:rsidRPr="00F351A6">
        <w:rPr>
          <w:rFonts w:ascii="Calibri" w:hAnsi="Calibri" w:cs="Calibri"/>
          <w:i/>
          <w:iCs/>
        </w:rPr>
        <w:t xml:space="preserve"> </w:t>
      </w:r>
      <w:r w:rsidRPr="00F351A6">
        <w:rPr>
          <w:rFonts w:ascii="Calibri" w:hAnsi="Calibri" w:cs="Calibri"/>
          <w:i/>
          <w:iCs/>
        </w:rPr>
        <w:t>motivational and cognitive universe, a dynamic center of awareness, emotion,</w:t>
      </w:r>
      <w:r w:rsidR="00F351A6">
        <w:rPr>
          <w:rFonts w:ascii="Calibri" w:hAnsi="Calibri" w:cs="Calibri"/>
          <w:i/>
          <w:iCs/>
        </w:rPr>
        <w:t xml:space="preserve"> </w:t>
      </w:r>
      <w:r w:rsidRPr="00F351A6">
        <w:rPr>
          <w:rFonts w:ascii="Calibri" w:hAnsi="Calibri" w:cs="Calibri"/>
          <w:i/>
          <w:iCs/>
        </w:rPr>
        <w:t>judgment, and action, organized into a distinctive whole and set contrastively—both against other such wholes and against social and natural background—is</w:t>
      </w:r>
      <w:r w:rsidR="00BF5127" w:rsidRPr="00F351A6">
        <w:rPr>
          <w:rFonts w:ascii="Calibri" w:hAnsi="Calibri" w:cs="Calibri"/>
          <w:i/>
          <w:iCs/>
        </w:rPr>
        <w:t>,</w:t>
      </w:r>
      <w:r w:rsidRPr="00F351A6">
        <w:rPr>
          <w:rFonts w:ascii="Calibri" w:hAnsi="Calibri" w:cs="Calibri"/>
          <w:i/>
          <w:iCs/>
        </w:rPr>
        <w:t xml:space="preserve"> however incorrigible it may seem to us, a rather peculiar idea within the context of the world’s cultures.”</w:t>
      </w:r>
    </w:p>
    <w:p w14:paraId="3EFBC7A4" w14:textId="707AA6FC" w:rsidR="005003B8" w:rsidRPr="00F351A6" w:rsidRDefault="00BB5A78" w:rsidP="00BB5A78">
      <w:pPr>
        <w:ind w:left="1152" w:firstLine="720"/>
        <w:rPr>
          <w:rFonts w:ascii="Calibri" w:hAnsi="Calibri" w:cs="Calibri"/>
        </w:rPr>
      </w:pPr>
      <w:r>
        <w:rPr>
          <w:rFonts w:ascii="Calibri" w:hAnsi="Calibri" w:cs="Calibri"/>
        </w:rPr>
        <w:t xml:space="preserve">- </w:t>
      </w:r>
      <w:r w:rsidR="005003B8" w:rsidRPr="00F351A6">
        <w:rPr>
          <w:rFonts w:ascii="Calibri" w:hAnsi="Calibri" w:cs="Calibri"/>
        </w:rPr>
        <w:t>Clifford Geertz, 1973, p. 34.</w:t>
      </w:r>
    </w:p>
    <w:p w14:paraId="20250A80" w14:textId="07497249" w:rsidR="00C73A58" w:rsidRPr="00F351A6" w:rsidRDefault="00682AA5" w:rsidP="005003B8">
      <w:pPr>
        <w:ind w:left="900"/>
        <w:rPr>
          <w:rFonts w:ascii="Calibri" w:hAnsi="Calibri" w:cs="Calibri"/>
        </w:rPr>
      </w:pPr>
      <w:r w:rsidRPr="00F351A6">
        <w:rPr>
          <w:rFonts w:ascii="Calibri" w:hAnsi="Calibri" w:cs="Calibri"/>
          <w:noProof/>
        </w:rPr>
        <w:drawing>
          <wp:anchor distT="0" distB="0" distL="114300" distR="114300" simplePos="0" relativeHeight="251658246" behindDoc="0" locked="0" layoutInCell="1" allowOverlap="1" wp14:anchorId="011C3DF2" wp14:editId="1197AF19">
            <wp:simplePos x="0" y="0"/>
            <wp:positionH relativeFrom="margin">
              <wp:posOffset>-34097</wp:posOffset>
            </wp:positionH>
            <wp:positionV relativeFrom="paragraph">
              <wp:posOffset>188264</wp:posOffset>
            </wp:positionV>
            <wp:extent cx="572135" cy="640080"/>
            <wp:effectExtent l="0" t="0" r="0" b="7620"/>
            <wp:wrapSquare wrapText="bothSides"/>
            <wp:docPr id="313599410" name="Picture 2" descr="A person sitting in a chair&#10;&#10;Description automatically generated">
              <a:extLst xmlns:a="http://schemas.openxmlformats.org/drawingml/2006/main">
                <a:ext uri="{FF2B5EF4-FFF2-40B4-BE49-F238E27FC236}">
                  <a16:creationId xmlns:a16="http://schemas.microsoft.com/office/drawing/2014/main" id="{DCB8BFEB-6BCC-71B9-175F-AC65231A3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sitting in a chair&#10;&#10;Description automatically generated">
                      <a:extLst>
                        <a:ext uri="{FF2B5EF4-FFF2-40B4-BE49-F238E27FC236}">
                          <a16:creationId xmlns:a16="http://schemas.microsoft.com/office/drawing/2014/main" id="{DCB8BFEB-6BCC-71B9-175F-AC65231A3B5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135" cy="640080"/>
                    </a:xfrm>
                    <a:prstGeom prst="rect">
                      <a:avLst/>
                    </a:prstGeom>
                  </pic:spPr>
                </pic:pic>
              </a:graphicData>
            </a:graphic>
            <wp14:sizeRelH relativeFrom="margin">
              <wp14:pctWidth>0</wp14:pctWidth>
            </wp14:sizeRelH>
            <wp14:sizeRelV relativeFrom="margin">
              <wp14:pctHeight>0</wp14:pctHeight>
            </wp14:sizeRelV>
          </wp:anchor>
        </w:drawing>
      </w:r>
    </w:p>
    <w:p w14:paraId="0A329A16" w14:textId="29DFBC59" w:rsidR="00682AA5" w:rsidRPr="00F351A6" w:rsidRDefault="00C73A58" w:rsidP="004D4AF7">
      <w:pPr>
        <w:rPr>
          <w:rFonts w:ascii="Calibri" w:hAnsi="Calibri" w:cs="Calibri"/>
          <w:i/>
          <w:iCs/>
        </w:rPr>
      </w:pPr>
      <w:r w:rsidRPr="00F351A6">
        <w:rPr>
          <w:rFonts w:ascii="Calibri" w:hAnsi="Calibri" w:cs="Calibri"/>
          <w:i/>
          <w:iCs/>
        </w:rPr>
        <w:t>“I have seen that in any great undertaking it is not enough for a person to simply depend upon themselves.”</w:t>
      </w:r>
    </w:p>
    <w:p w14:paraId="1D42DF4C" w14:textId="3C35E6C5" w:rsidR="00C73A58" w:rsidRPr="00F351A6" w:rsidRDefault="00BB5A78" w:rsidP="00BB5A78">
      <w:pPr>
        <w:ind w:left="1152" w:firstLine="720"/>
        <w:rPr>
          <w:rFonts w:ascii="American Typewriter" w:hAnsi="American Typewriter" w:cs="Arial"/>
          <w:sz w:val="28"/>
          <w:szCs w:val="28"/>
        </w:rPr>
      </w:pPr>
      <w:r>
        <w:rPr>
          <w:rFonts w:ascii="Calibri" w:hAnsi="Calibri" w:cs="Calibri"/>
        </w:rPr>
        <w:t xml:space="preserve">- </w:t>
      </w:r>
      <w:r w:rsidR="00C73A58" w:rsidRPr="00F351A6">
        <w:rPr>
          <w:rFonts w:ascii="Calibri" w:hAnsi="Calibri" w:cs="Calibri"/>
        </w:rPr>
        <w:t>Lone Man (</w:t>
      </w:r>
      <w:proofErr w:type="spellStart"/>
      <w:r w:rsidR="00C73A58" w:rsidRPr="00F351A6">
        <w:rPr>
          <w:rFonts w:ascii="Calibri" w:hAnsi="Calibri" w:cs="Calibri"/>
          <w:i/>
          <w:iCs/>
        </w:rPr>
        <w:t>isna</w:t>
      </w:r>
      <w:proofErr w:type="spellEnd"/>
      <w:r w:rsidR="00C73A58" w:rsidRPr="00F351A6">
        <w:rPr>
          <w:rFonts w:ascii="Calibri" w:hAnsi="Calibri" w:cs="Calibri"/>
          <w:i/>
          <w:iCs/>
        </w:rPr>
        <w:t xml:space="preserve"> la </w:t>
      </w:r>
      <w:proofErr w:type="spellStart"/>
      <w:r w:rsidR="00C73A58" w:rsidRPr="00F351A6">
        <w:rPr>
          <w:rFonts w:ascii="Calibri" w:hAnsi="Calibri" w:cs="Calibri"/>
          <w:i/>
          <w:iCs/>
        </w:rPr>
        <w:t>wica</w:t>
      </w:r>
      <w:proofErr w:type="spellEnd"/>
      <w:r w:rsidR="00C73A58" w:rsidRPr="00F351A6">
        <w:rPr>
          <w:rFonts w:ascii="Calibri" w:hAnsi="Calibri" w:cs="Calibri"/>
        </w:rPr>
        <w:t>) la</w:t>
      </w:r>
      <w:r w:rsidR="00AD1D1E" w:rsidRPr="00F351A6">
        <w:rPr>
          <w:rFonts w:ascii="Calibri" w:hAnsi="Calibri" w:cs="Calibri"/>
        </w:rPr>
        <w:t xml:space="preserve">te </w:t>
      </w:r>
      <w:r w:rsidR="00C73A58" w:rsidRPr="00F351A6">
        <w:rPr>
          <w:rFonts w:ascii="Calibri" w:hAnsi="Calibri" w:cs="Calibri"/>
        </w:rPr>
        <w:t>19</w:t>
      </w:r>
      <w:r w:rsidR="00C73A58" w:rsidRPr="00F351A6">
        <w:rPr>
          <w:rFonts w:ascii="Calibri" w:hAnsi="Calibri" w:cs="Calibri"/>
          <w:vertAlign w:val="superscript"/>
        </w:rPr>
        <w:t>th</w:t>
      </w:r>
      <w:r w:rsidR="00C73A58" w:rsidRPr="00F351A6">
        <w:rPr>
          <w:rFonts w:ascii="Calibri" w:hAnsi="Calibri" w:cs="Calibri"/>
        </w:rPr>
        <w:t xml:space="preserve"> century Teton elder</w:t>
      </w:r>
    </w:p>
    <w:p w14:paraId="39696B72" w14:textId="77777777" w:rsidR="00BF1EC6" w:rsidRDefault="00BF1EC6" w:rsidP="00C73A58">
      <w:pPr>
        <w:rPr>
          <w:rFonts w:ascii="Noteworthy Light" w:hAnsi="Noteworthy Light" w:cs="Arial"/>
          <w:color w:val="323E4F" w:themeColor="text2" w:themeShade="BF"/>
        </w:rPr>
      </w:pPr>
    </w:p>
    <w:p w14:paraId="59B740E6" w14:textId="77777777" w:rsidR="00F351A6" w:rsidRPr="002E5307" w:rsidRDefault="00F351A6" w:rsidP="00C73A58">
      <w:pPr>
        <w:rPr>
          <w:rFonts w:ascii="Noteworthy Light" w:hAnsi="Noteworthy Light" w:cs="Arial"/>
          <w:color w:val="323E4F" w:themeColor="text2" w:themeShade="BF"/>
        </w:rPr>
      </w:pPr>
    </w:p>
    <w:p w14:paraId="59158F7A" w14:textId="5023191F" w:rsidR="00614F3C" w:rsidRPr="004D4AF7" w:rsidRDefault="00614F3C" w:rsidP="00F725CF">
      <w:pPr>
        <w:jc w:val="center"/>
        <w:rPr>
          <w:rFonts w:cstheme="minorHAnsi"/>
          <w:b/>
          <w:bCs/>
          <w:color w:val="323E4F" w:themeColor="text2" w:themeShade="BF"/>
          <w:sz w:val="28"/>
          <w:szCs w:val="28"/>
        </w:rPr>
      </w:pPr>
      <w:r w:rsidRPr="004D4AF7">
        <w:rPr>
          <w:rFonts w:cstheme="minorHAnsi"/>
          <w:b/>
          <w:bCs/>
          <w:color w:val="323E4F" w:themeColor="text2" w:themeShade="BF"/>
          <w:sz w:val="28"/>
          <w:szCs w:val="28"/>
        </w:rPr>
        <w:t>Overview</w:t>
      </w:r>
    </w:p>
    <w:p w14:paraId="61857AA8" w14:textId="77777777" w:rsidR="00B751A6" w:rsidRPr="004D4AF7" w:rsidRDefault="00B751A6" w:rsidP="00B751A6">
      <w:pPr>
        <w:pStyle w:val="mb-3"/>
        <w:rPr>
          <w:rFonts w:asciiTheme="minorHAnsi" w:hAnsiTheme="minorHAnsi" w:cstheme="minorHAnsi"/>
        </w:rPr>
      </w:pPr>
      <w:r w:rsidRPr="004D4AF7">
        <w:rPr>
          <w:rFonts w:asciiTheme="minorHAnsi" w:hAnsiTheme="minorHAnsi" w:cstheme="minorHAnsi"/>
        </w:rPr>
        <w:t>The objective of this presentation is to raise points to promote culturally sensitive decision making in research with ethnocultural populations. This will reflect the unique historical and socio-cultural realities of ethnic and racial groups and their communities. The presentation will emphasize four key aspects of culturally sensitive research: (1) applying a cultural perspective when evaluating research risks and benefits; (2) developing and implementing culturally respectful procedures; (3) constructing culturally appropriate data collection methods; and (4) engaging in meaningful consultation with communities and participants with a standard of “principled cultural sensitivity.”</w:t>
      </w:r>
    </w:p>
    <w:p w14:paraId="58BF7963" w14:textId="5D3763C0" w:rsidR="00B751A6" w:rsidRPr="004D4AF7" w:rsidRDefault="00B751A6" w:rsidP="00B751A6">
      <w:pPr>
        <w:pStyle w:val="mb-3"/>
        <w:rPr>
          <w:rFonts w:asciiTheme="minorHAnsi" w:hAnsiTheme="minorHAnsi" w:cstheme="minorHAnsi"/>
        </w:rPr>
      </w:pPr>
      <w:r w:rsidRPr="004D4AF7">
        <w:rPr>
          <w:rFonts w:asciiTheme="minorHAnsi" w:hAnsiTheme="minorHAnsi" w:cstheme="minorHAnsi"/>
        </w:rPr>
        <w:t xml:space="preserve">There is a growing distrust </w:t>
      </w:r>
      <w:r w:rsidR="00F351A6" w:rsidRPr="004D4AF7">
        <w:rPr>
          <w:rFonts w:asciiTheme="minorHAnsi" w:hAnsiTheme="minorHAnsi" w:cstheme="minorHAnsi"/>
        </w:rPr>
        <w:t xml:space="preserve">that </w:t>
      </w:r>
      <w:r w:rsidRPr="004D4AF7">
        <w:rPr>
          <w:rFonts w:asciiTheme="minorHAnsi" w:hAnsiTheme="minorHAnsi" w:cstheme="minorHAnsi"/>
        </w:rPr>
        <w:t>communities are expressing toward researchers, stemming from valid concerns about past research efforts. Many ethnocultural community leaders now demand greater involvement in and control over research. Researchers must be prepared to collaborate, share practical results, and accept conditions required for access</w:t>
      </w:r>
      <w:r w:rsidR="000301F9" w:rsidRPr="004D4AF7">
        <w:rPr>
          <w:rFonts w:asciiTheme="minorHAnsi" w:hAnsiTheme="minorHAnsi" w:cstheme="minorHAnsi"/>
        </w:rPr>
        <w:t xml:space="preserve"> to the community</w:t>
      </w:r>
      <w:r w:rsidRPr="004D4AF7">
        <w:rPr>
          <w:rFonts w:asciiTheme="minorHAnsi" w:hAnsiTheme="minorHAnsi" w:cstheme="minorHAnsi"/>
        </w:rPr>
        <w:t xml:space="preserve">. Additionally, researchers </w:t>
      </w:r>
      <w:r w:rsidR="00D26A95" w:rsidRPr="004D4AF7">
        <w:rPr>
          <w:rFonts w:asciiTheme="minorHAnsi" w:hAnsiTheme="minorHAnsi" w:cstheme="minorHAnsi"/>
        </w:rPr>
        <w:t>should concentrate on the</w:t>
      </w:r>
      <w:r w:rsidRPr="004D4AF7">
        <w:rPr>
          <w:rFonts w:asciiTheme="minorHAnsi" w:hAnsiTheme="minorHAnsi" w:cstheme="minorHAnsi"/>
        </w:rPr>
        <w:t xml:space="preserve"> factors defining race, ethnicity, and culture, understanding of within-group differences, and skills in constructing culturally valid assessments.</w:t>
      </w:r>
    </w:p>
    <w:p w14:paraId="5E5A17DF" w14:textId="3182C4EA" w:rsidR="006C12B6" w:rsidRPr="004D4AF7" w:rsidRDefault="00B751A6" w:rsidP="00B751A6">
      <w:pPr>
        <w:pStyle w:val="mb-3"/>
        <w:rPr>
          <w:rFonts w:asciiTheme="minorHAnsi" w:hAnsiTheme="minorHAnsi" w:cstheme="minorHAnsi"/>
        </w:rPr>
      </w:pPr>
      <w:r w:rsidRPr="004D4AF7">
        <w:rPr>
          <w:rFonts w:asciiTheme="minorHAnsi" w:hAnsiTheme="minorHAnsi" w:cstheme="minorHAnsi"/>
        </w:rPr>
        <w:t>While federal regulations and professional codes provide important guidance, they are incomplete for identifying and resolving the complex ethical challenges in research with ethnic groups. Investigators undertaking the critical task of generating information to inform psychological services, public opinion, and policies have a formidable responsibility. Their procedures must be scientifically sound, culturally valid, and morally just.</w:t>
      </w:r>
    </w:p>
    <w:p w14:paraId="02608A37" w14:textId="0745949A" w:rsidR="008103E9" w:rsidRPr="004D4AF7" w:rsidRDefault="008103E9" w:rsidP="00373947">
      <w:pPr>
        <w:jc w:val="center"/>
        <w:rPr>
          <w:rFonts w:cstheme="minorHAnsi"/>
          <w:b/>
          <w:bCs/>
          <w:color w:val="000000" w:themeColor="text1"/>
          <w:sz w:val="28"/>
          <w:szCs w:val="28"/>
        </w:rPr>
      </w:pPr>
      <w:r w:rsidRPr="004D4AF7">
        <w:rPr>
          <w:rFonts w:cstheme="minorHAnsi"/>
          <w:b/>
          <w:bCs/>
          <w:color w:val="000000" w:themeColor="text1"/>
          <w:sz w:val="28"/>
          <w:szCs w:val="28"/>
        </w:rPr>
        <w:lastRenderedPageBreak/>
        <w:t>Objectives</w:t>
      </w:r>
    </w:p>
    <w:p w14:paraId="15170D1B" w14:textId="77777777" w:rsidR="00442E62" w:rsidRPr="00BB5A78" w:rsidRDefault="00442E62" w:rsidP="00442E62">
      <w:pPr>
        <w:rPr>
          <w:rFonts w:cstheme="minorHAnsi"/>
          <w:b/>
          <w:bCs/>
          <w:color w:val="808080" w:themeColor="background1" w:themeShade="80"/>
          <w:sz w:val="20"/>
          <w:szCs w:val="22"/>
        </w:rPr>
      </w:pPr>
    </w:p>
    <w:p w14:paraId="305E8C11" w14:textId="77777777" w:rsidR="00442E62" w:rsidRPr="004D4AF7" w:rsidRDefault="00442E62" w:rsidP="00442E62">
      <w:pPr>
        <w:pStyle w:val="ListParagraph"/>
        <w:numPr>
          <w:ilvl w:val="0"/>
          <w:numId w:val="4"/>
        </w:numPr>
        <w:rPr>
          <w:rFonts w:cstheme="minorHAnsi"/>
          <w:color w:val="000000" w:themeColor="text1"/>
          <w:szCs w:val="28"/>
        </w:rPr>
      </w:pPr>
      <w:r w:rsidRPr="004D4AF7">
        <w:rPr>
          <w:rFonts w:cstheme="minorHAnsi"/>
          <w:color w:val="000000" w:themeColor="text1"/>
          <w:szCs w:val="28"/>
        </w:rPr>
        <w:t xml:space="preserve">To foster ethical, principled, and responsible decision-making in community research involving ethnocultural populations, </w:t>
      </w:r>
      <w:proofErr w:type="gramStart"/>
      <w:r w:rsidRPr="004D4AF7">
        <w:rPr>
          <w:rFonts w:cstheme="minorHAnsi"/>
          <w:color w:val="000000" w:themeColor="text1"/>
          <w:szCs w:val="28"/>
        </w:rPr>
        <w:t>taking into account</w:t>
      </w:r>
      <w:proofErr w:type="gramEnd"/>
      <w:r w:rsidRPr="004D4AF7">
        <w:rPr>
          <w:rFonts w:cstheme="minorHAnsi"/>
          <w:color w:val="000000" w:themeColor="text1"/>
          <w:szCs w:val="28"/>
        </w:rPr>
        <w:t xml:space="preserve"> their unique historical and socio-cultural backgrounds. </w:t>
      </w:r>
    </w:p>
    <w:p w14:paraId="3630380D" w14:textId="392D4104" w:rsidR="00442E62" w:rsidRPr="004D4AF7" w:rsidRDefault="00442E62" w:rsidP="00442E62">
      <w:pPr>
        <w:pStyle w:val="ListParagraph"/>
        <w:numPr>
          <w:ilvl w:val="0"/>
          <w:numId w:val="4"/>
        </w:numPr>
        <w:rPr>
          <w:rFonts w:cstheme="minorHAnsi"/>
          <w:color w:val="000000" w:themeColor="text1"/>
          <w:szCs w:val="28"/>
        </w:rPr>
      </w:pPr>
      <w:r w:rsidRPr="004D4AF7">
        <w:rPr>
          <w:rFonts w:cstheme="minorHAnsi"/>
          <w:color w:val="000000" w:themeColor="text1"/>
          <w:szCs w:val="28"/>
        </w:rPr>
        <w:t>To emphasize the negative outcomes of irresponsible research practices and cultural insensitivity on both researchers and participants.</w:t>
      </w:r>
    </w:p>
    <w:p w14:paraId="72E31653" w14:textId="0147EC4C" w:rsidR="00442E62" w:rsidRPr="004D4AF7" w:rsidRDefault="00442E62" w:rsidP="00442E62">
      <w:pPr>
        <w:pStyle w:val="ListParagraph"/>
        <w:numPr>
          <w:ilvl w:val="0"/>
          <w:numId w:val="4"/>
        </w:numPr>
        <w:rPr>
          <w:rFonts w:cstheme="minorHAnsi"/>
          <w:color w:val="000000" w:themeColor="text1"/>
          <w:szCs w:val="28"/>
        </w:rPr>
      </w:pPr>
      <w:r w:rsidRPr="004D4AF7">
        <w:rPr>
          <w:rFonts w:cstheme="minorHAnsi"/>
          <w:color w:val="000000" w:themeColor="text1"/>
          <w:szCs w:val="28"/>
        </w:rPr>
        <w:t xml:space="preserve">To advocate for a culturally sensitive approach when assessing the risks and benefits of research. </w:t>
      </w:r>
    </w:p>
    <w:p w14:paraId="0CDC528F" w14:textId="5B188136" w:rsidR="00442E62" w:rsidRPr="004D4AF7" w:rsidRDefault="00442E62" w:rsidP="00442E62">
      <w:pPr>
        <w:pStyle w:val="ListParagraph"/>
        <w:numPr>
          <w:ilvl w:val="0"/>
          <w:numId w:val="4"/>
        </w:numPr>
        <w:rPr>
          <w:rFonts w:cstheme="minorHAnsi"/>
          <w:color w:val="000000" w:themeColor="text1"/>
          <w:szCs w:val="28"/>
        </w:rPr>
      </w:pPr>
      <w:r w:rsidRPr="004D4AF7">
        <w:rPr>
          <w:rFonts w:cstheme="minorHAnsi"/>
          <w:color w:val="000000" w:themeColor="text1"/>
          <w:szCs w:val="28"/>
        </w:rPr>
        <w:t xml:space="preserve">To encourage individuals to reflect on their own cultural beliefs and values in a respectful manner. </w:t>
      </w:r>
    </w:p>
    <w:p w14:paraId="7B57FAB5" w14:textId="6D12A972" w:rsidR="00442E62" w:rsidRPr="004D4AF7" w:rsidRDefault="00442E62" w:rsidP="00442E62">
      <w:pPr>
        <w:pStyle w:val="ListParagraph"/>
        <w:numPr>
          <w:ilvl w:val="0"/>
          <w:numId w:val="4"/>
        </w:numPr>
        <w:rPr>
          <w:rFonts w:cstheme="minorHAnsi"/>
          <w:color w:val="000000" w:themeColor="text1"/>
          <w:szCs w:val="28"/>
        </w:rPr>
      </w:pPr>
      <w:r w:rsidRPr="004D4AF7">
        <w:rPr>
          <w:rFonts w:cstheme="minorHAnsi"/>
          <w:color w:val="000000" w:themeColor="text1"/>
          <w:szCs w:val="28"/>
        </w:rPr>
        <w:t xml:space="preserve">To support community and participant involvement in research with a focus on cultural sensitivity. </w:t>
      </w:r>
    </w:p>
    <w:p w14:paraId="7939EBE2" w14:textId="1A53D454" w:rsidR="00442E62" w:rsidRDefault="00442E62" w:rsidP="00442E62">
      <w:pPr>
        <w:pStyle w:val="ListParagraph"/>
        <w:numPr>
          <w:ilvl w:val="0"/>
          <w:numId w:val="4"/>
        </w:numPr>
        <w:rPr>
          <w:rFonts w:cstheme="minorHAnsi"/>
          <w:color w:val="000000" w:themeColor="text1"/>
          <w:szCs w:val="28"/>
        </w:rPr>
      </w:pPr>
      <w:r w:rsidRPr="004D4AF7">
        <w:rPr>
          <w:rFonts w:cstheme="minorHAnsi"/>
          <w:color w:val="000000" w:themeColor="text1"/>
          <w:szCs w:val="28"/>
        </w:rPr>
        <w:t>To provide information that prompts thoughtful discussions on how ethnocultural groups perceive research topics, appropriate intervention points, culturally accepted intervention methods, and considerations for the ethical implementation of interventions.</w:t>
      </w:r>
    </w:p>
    <w:p w14:paraId="58333914" w14:textId="77777777" w:rsidR="007057F0" w:rsidRPr="007057F0" w:rsidRDefault="007057F0" w:rsidP="007057F0">
      <w:pPr>
        <w:rPr>
          <w:rFonts w:cstheme="minorHAnsi"/>
          <w:color w:val="000000" w:themeColor="text1"/>
          <w:szCs w:val="28"/>
        </w:rPr>
      </w:pPr>
    </w:p>
    <w:p w14:paraId="5202FEC1" w14:textId="77777777" w:rsidR="00861EDF" w:rsidRPr="004D4AF7" w:rsidRDefault="00861EDF" w:rsidP="008103E9">
      <w:pPr>
        <w:rPr>
          <w:rFonts w:cstheme="minorHAnsi"/>
          <w:b/>
          <w:bCs/>
          <w:color w:val="808080" w:themeColor="background1" w:themeShade="80"/>
          <w:szCs w:val="28"/>
        </w:rPr>
      </w:pPr>
    </w:p>
    <w:p w14:paraId="588A3488" w14:textId="3BF20782" w:rsidR="00614F3C" w:rsidRPr="004D4AF7" w:rsidRDefault="00614F3C" w:rsidP="00614F3C">
      <w:pPr>
        <w:jc w:val="center"/>
        <w:rPr>
          <w:rFonts w:cstheme="minorHAnsi"/>
          <w:color w:val="323E4F" w:themeColor="text2" w:themeShade="BF"/>
        </w:rPr>
      </w:pPr>
      <w:r w:rsidRPr="004D4AF7">
        <w:rPr>
          <w:rFonts w:cstheme="minorHAnsi"/>
          <w:b/>
          <w:bCs/>
          <w:color w:val="323E4F" w:themeColor="text2" w:themeShade="BF"/>
          <w:sz w:val="28"/>
          <w:szCs w:val="32"/>
        </w:rPr>
        <w:t>Selected Readings</w:t>
      </w:r>
      <w:r w:rsidR="007C4058" w:rsidRPr="004D4AF7">
        <w:rPr>
          <w:rFonts w:cstheme="minorHAnsi"/>
          <w:b/>
          <w:bCs/>
          <w:color w:val="323E4F" w:themeColor="text2" w:themeShade="BF"/>
          <w:sz w:val="28"/>
          <w:szCs w:val="32"/>
        </w:rPr>
        <w:t xml:space="preserve"> and References</w:t>
      </w:r>
    </w:p>
    <w:p w14:paraId="58B4E098" w14:textId="77777777" w:rsidR="008103E9" w:rsidRPr="00BB5A78" w:rsidRDefault="008103E9" w:rsidP="008103E9">
      <w:pPr>
        <w:rPr>
          <w:rFonts w:cstheme="minorHAnsi"/>
          <w:b/>
          <w:bCs/>
          <w:i/>
          <w:iCs/>
          <w:color w:val="323E4F" w:themeColor="text2" w:themeShade="BF"/>
          <w:sz w:val="20"/>
          <w:szCs w:val="20"/>
        </w:rPr>
      </w:pPr>
    </w:p>
    <w:p w14:paraId="4712ED5C" w14:textId="63BB83EB" w:rsidR="007744A4" w:rsidRPr="007744A4" w:rsidRDefault="007744A4" w:rsidP="007744A4">
      <w:r w:rsidRPr="007744A4">
        <w:t>Allen, J.</w:t>
      </w:r>
      <w:r w:rsidR="00D0676C">
        <w:t>,</w:t>
      </w:r>
      <w:r w:rsidRPr="007744A4">
        <w:t xml:space="preserve"> Rivkin, </w:t>
      </w:r>
      <w:r w:rsidR="0059661C">
        <w:t>I</w:t>
      </w:r>
      <w:r w:rsidRPr="007744A4">
        <w:t>. D.,</w:t>
      </w:r>
      <w:r w:rsidR="00916EDB">
        <w:t xml:space="preserve"> &amp;</w:t>
      </w:r>
      <w:r w:rsidRPr="007744A4">
        <w:t xml:space="preserve"> Trimble J. E. (2021). Relational Methodology</w:t>
      </w:r>
      <w:r w:rsidR="00D0676C">
        <w:t>.</w:t>
      </w:r>
      <w:r w:rsidRPr="007744A4">
        <w:t xml:space="preserve"> </w:t>
      </w:r>
      <w:r w:rsidR="00D0676C">
        <w:t>I</w:t>
      </w:r>
      <w:r w:rsidRPr="007744A4">
        <w:t>n K.</w:t>
      </w:r>
      <w:r w:rsidR="00D0676C">
        <w:t xml:space="preserve"> C.</w:t>
      </w:r>
      <w:r w:rsidRPr="007744A4">
        <w:t xml:space="preserve"> Mc</w:t>
      </w:r>
      <w:r w:rsidR="00D0676C">
        <w:t>L</w:t>
      </w:r>
      <w:r w:rsidRPr="007744A4">
        <w:t>ean</w:t>
      </w:r>
      <w:r w:rsidR="000F1312">
        <w:t xml:space="preserve"> (Ed.)</w:t>
      </w:r>
      <w:r w:rsidRPr="007744A4">
        <w:t>, </w:t>
      </w:r>
      <w:r w:rsidRPr="000F1312">
        <w:rPr>
          <w:i/>
          <w:iCs/>
        </w:rPr>
        <w:t xml:space="preserve">Cultural </w:t>
      </w:r>
      <w:r w:rsidR="000F1312" w:rsidRPr="000F1312">
        <w:rPr>
          <w:i/>
          <w:iCs/>
        </w:rPr>
        <w:t>m</w:t>
      </w:r>
      <w:r w:rsidRPr="000F1312">
        <w:rPr>
          <w:i/>
          <w:iCs/>
        </w:rPr>
        <w:t xml:space="preserve">ethods in </w:t>
      </w:r>
      <w:r w:rsidR="000F1312" w:rsidRPr="000F1312">
        <w:rPr>
          <w:i/>
          <w:iCs/>
        </w:rPr>
        <w:t>p</w:t>
      </w:r>
      <w:r w:rsidRPr="000F1312">
        <w:rPr>
          <w:i/>
          <w:iCs/>
        </w:rPr>
        <w:t xml:space="preserve">sychology: Describing and </w:t>
      </w:r>
      <w:r w:rsidR="000F1312" w:rsidRPr="000F1312">
        <w:rPr>
          <w:i/>
          <w:iCs/>
        </w:rPr>
        <w:t>t</w:t>
      </w:r>
      <w:r w:rsidRPr="000F1312">
        <w:rPr>
          <w:i/>
          <w:iCs/>
        </w:rPr>
        <w:t xml:space="preserve">ransforming </w:t>
      </w:r>
      <w:r w:rsidR="000F1312" w:rsidRPr="000F1312">
        <w:rPr>
          <w:i/>
          <w:iCs/>
        </w:rPr>
        <w:t>c</w:t>
      </w:r>
      <w:r w:rsidRPr="000F1312">
        <w:rPr>
          <w:i/>
          <w:iCs/>
        </w:rPr>
        <w:t>ultures</w:t>
      </w:r>
      <w:r w:rsidRPr="007744A4">
        <w:t>. Oxford Press.</w:t>
      </w:r>
    </w:p>
    <w:p w14:paraId="3C28C900" w14:textId="77777777" w:rsidR="007744A4" w:rsidRPr="007744A4" w:rsidRDefault="007744A4" w:rsidP="007744A4">
      <w:pPr>
        <w:rPr>
          <w:b/>
          <w:bCs/>
          <w:i/>
          <w:iCs/>
        </w:rPr>
      </w:pPr>
    </w:p>
    <w:p w14:paraId="03B3D208" w14:textId="77777777" w:rsidR="007744A4" w:rsidRPr="007744A4" w:rsidRDefault="007744A4" w:rsidP="007744A4">
      <w:r w:rsidRPr="007744A4">
        <w:t xml:space="preserve">American Indian Law Center (1999). </w:t>
      </w:r>
      <w:r w:rsidRPr="007744A4">
        <w:rPr>
          <w:i/>
          <w:iCs/>
        </w:rPr>
        <w:t xml:space="preserve">Model tribal research code: With materials for </w:t>
      </w:r>
    </w:p>
    <w:p w14:paraId="248D25E5" w14:textId="6E049CB3" w:rsidR="007744A4" w:rsidRPr="007744A4" w:rsidRDefault="007744A4" w:rsidP="007744A4">
      <w:r w:rsidRPr="007744A4">
        <w:rPr>
          <w:i/>
          <w:iCs/>
        </w:rPr>
        <w:t xml:space="preserve">tribal regulation for research and checklist for Indian health boards </w:t>
      </w:r>
      <w:r w:rsidRPr="007744A4">
        <w:t xml:space="preserve">(3rd ed.). American Indian Law Center, Inc. </w:t>
      </w:r>
    </w:p>
    <w:p w14:paraId="67DFD723" w14:textId="77777777" w:rsidR="00A12680" w:rsidRPr="007744A4" w:rsidRDefault="00A12680" w:rsidP="007744A4"/>
    <w:p w14:paraId="104920D5" w14:textId="5F61A86B" w:rsidR="007744A4" w:rsidRDefault="00AD62BA" w:rsidP="007744A4">
      <w:r w:rsidRPr="00AD62BA">
        <w:t xml:space="preserve">Blume Ph D, A. W. (2014). Sharing the light of the sacred fire: A proposal for a paradigm shift in psychology. </w:t>
      </w:r>
      <w:r w:rsidRPr="00AD62BA">
        <w:rPr>
          <w:i/>
          <w:iCs/>
        </w:rPr>
        <w:t>Journal of Indigenous Research</w:t>
      </w:r>
      <w:r w:rsidRPr="00AD62BA">
        <w:t>, 3(1), 4.</w:t>
      </w:r>
      <w:r w:rsidR="00962DEF">
        <w:t xml:space="preserve"> </w:t>
      </w:r>
      <w:hyperlink r:id="rId18" w:history="1">
        <w:r w:rsidR="00C623DC" w:rsidRPr="004D5C6D">
          <w:rPr>
            <w:rStyle w:val="Hyperlink"/>
          </w:rPr>
          <w:t>https://doi.org/10.26077/sryb-7h95</w:t>
        </w:r>
      </w:hyperlink>
    </w:p>
    <w:p w14:paraId="7F7EB264" w14:textId="77777777" w:rsidR="00AD62BA" w:rsidRPr="007744A4" w:rsidRDefault="00AD62BA" w:rsidP="007744A4"/>
    <w:p w14:paraId="607D4C31" w14:textId="00A517DF" w:rsidR="007744A4" w:rsidRPr="007744A4" w:rsidRDefault="007744A4" w:rsidP="007744A4">
      <w:r w:rsidRPr="007744A4">
        <w:t xml:space="preserve">Blume, A. W. (2021). An Indigenous American Conceptualization of Substance Abuse and Its Treatment. </w:t>
      </w:r>
      <w:r w:rsidRPr="007744A4">
        <w:rPr>
          <w:i/>
          <w:iCs/>
        </w:rPr>
        <w:t>Alcoholism Treatment Quarterly</w:t>
      </w:r>
      <w:r w:rsidRPr="007744A4">
        <w:t xml:space="preserve">, </w:t>
      </w:r>
      <w:r w:rsidRPr="007744A4">
        <w:rPr>
          <w:i/>
          <w:iCs/>
        </w:rPr>
        <w:t>39</w:t>
      </w:r>
      <w:r w:rsidRPr="007744A4">
        <w:t xml:space="preserve">(2), 135–153. </w:t>
      </w:r>
      <w:hyperlink r:id="rId19" w:history="1">
        <w:r w:rsidR="00C623DC" w:rsidRPr="004D5C6D">
          <w:rPr>
            <w:rStyle w:val="Hyperlink"/>
          </w:rPr>
          <w:t>https://doi.org/10.1080/07347324.2020.1741330</w:t>
        </w:r>
      </w:hyperlink>
    </w:p>
    <w:p w14:paraId="41E0D236" w14:textId="77777777" w:rsidR="007744A4" w:rsidRPr="007744A4" w:rsidRDefault="007744A4" w:rsidP="007744A4"/>
    <w:p w14:paraId="610F67AE" w14:textId="4D25B122" w:rsidR="00B12F2A" w:rsidRPr="003E7E44" w:rsidRDefault="00B12F2A" w:rsidP="007744A4">
      <w:pPr>
        <w:rPr>
          <w:rFonts w:cstheme="minorHAnsi"/>
        </w:rPr>
      </w:pPr>
      <w:r w:rsidRPr="003E7E44">
        <w:rPr>
          <w:rFonts w:cstheme="minorHAnsi"/>
        </w:rPr>
        <w:t xml:space="preserve">Cousineau, M. (2015, </w:t>
      </w:r>
      <w:r w:rsidR="00E42561" w:rsidRPr="003E7E44">
        <w:rPr>
          <w:rFonts w:cstheme="minorHAnsi"/>
        </w:rPr>
        <w:t xml:space="preserve">February 12). </w:t>
      </w:r>
      <w:proofErr w:type="spellStart"/>
      <w:r w:rsidR="00E42561" w:rsidRPr="003E7E44">
        <w:rPr>
          <w:rFonts w:cstheme="minorHAnsi"/>
          <w:i/>
          <w:iCs/>
        </w:rPr>
        <w:t>Arnait</w:t>
      </w:r>
      <w:proofErr w:type="spellEnd"/>
      <w:r w:rsidR="00E42561" w:rsidRPr="003E7E44">
        <w:rPr>
          <w:rFonts w:cstheme="minorHAnsi"/>
          <w:i/>
          <w:iCs/>
        </w:rPr>
        <w:t xml:space="preserve"> Video Presents: Charlie </w:t>
      </w:r>
      <w:proofErr w:type="spellStart"/>
      <w:r w:rsidR="00E42561" w:rsidRPr="003E7E44">
        <w:rPr>
          <w:rFonts w:cstheme="minorHAnsi"/>
          <w:i/>
          <w:iCs/>
        </w:rPr>
        <w:t>Pisuk</w:t>
      </w:r>
      <w:proofErr w:type="spellEnd"/>
      <w:r w:rsidR="00FA5DF3" w:rsidRPr="003E7E44">
        <w:rPr>
          <w:rFonts w:cstheme="minorHAnsi"/>
        </w:rPr>
        <w:t xml:space="preserve"> [Video]. </w:t>
      </w:r>
      <w:proofErr w:type="spellStart"/>
      <w:r w:rsidR="003E7E44" w:rsidRPr="003E7E44">
        <w:rPr>
          <w:rFonts w:cstheme="minorHAnsi"/>
        </w:rPr>
        <w:t>Isuma</w:t>
      </w:r>
      <w:proofErr w:type="spellEnd"/>
      <w:r w:rsidR="003E7E44" w:rsidRPr="003E7E44">
        <w:rPr>
          <w:rFonts w:cstheme="minorHAnsi"/>
        </w:rPr>
        <w:t xml:space="preserve"> TV.</w:t>
      </w:r>
      <w:r w:rsidR="00FA5DF3" w:rsidRPr="003E7E44">
        <w:rPr>
          <w:rFonts w:cstheme="minorHAnsi"/>
        </w:rPr>
        <w:t xml:space="preserve"> </w:t>
      </w:r>
    </w:p>
    <w:p w14:paraId="6F4B51F8" w14:textId="6DF4BA71" w:rsidR="007744A4" w:rsidRPr="003E7E44" w:rsidRDefault="00000000" w:rsidP="007744A4">
      <w:pPr>
        <w:rPr>
          <w:rFonts w:cstheme="minorHAnsi"/>
        </w:rPr>
      </w:pPr>
      <w:hyperlink r:id="rId20" w:history="1">
        <w:r w:rsidR="007744A4" w:rsidRPr="003E7E44">
          <w:rPr>
            <w:rStyle w:val="Hyperlink"/>
            <w:rFonts w:cstheme="minorHAnsi"/>
          </w:rPr>
          <w:t>https://www.isuma.tv/%E1%90%83%E1%93%84%E1%92%83%E1%91%8E%E1%91%90%E1%91%A6/arnaitvideo/charlie-pisuk</w:t>
        </w:r>
      </w:hyperlink>
      <w:r w:rsidR="003E7E44" w:rsidRPr="00C623DC">
        <w:rPr>
          <w:rStyle w:val="Hyperlink"/>
          <w:rFonts w:cstheme="minorHAnsi"/>
          <w:color w:val="auto"/>
          <w:u w:val="none"/>
        </w:rPr>
        <w:t>.</w:t>
      </w:r>
      <w:r w:rsidR="003E7E44">
        <w:rPr>
          <w:rFonts w:cstheme="minorHAnsi"/>
        </w:rPr>
        <w:t xml:space="preserve"> </w:t>
      </w:r>
      <w:r w:rsidR="007744A4" w:rsidRPr="003E7E44">
        <w:rPr>
          <w:rFonts w:cstheme="minorHAnsi"/>
        </w:rPr>
        <w:t xml:space="preserve">The video explores the difficulty </w:t>
      </w:r>
      <w:r w:rsidR="003E7E44" w:rsidRPr="003E7E44">
        <w:rPr>
          <w:rFonts w:cstheme="minorHAnsi"/>
        </w:rPr>
        <w:t>administering</w:t>
      </w:r>
      <w:r w:rsidR="007744A4" w:rsidRPr="003E7E44">
        <w:rPr>
          <w:rFonts w:cstheme="minorHAnsi"/>
        </w:rPr>
        <w:t xml:space="preserve"> a standardized </w:t>
      </w:r>
      <w:r w:rsidR="003E7E44" w:rsidRPr="003E7E44">
        <w:rPr>
          <w:rFonts w:cstheme="minorHAnsi"/>
        </w:rPr>
        <w:t>personality</w:t>
      </w:r>
      <w:r w:rsidR="007744A4" w:rsidRPr="003E7E44">
        <w:rPr>
          <w:rFonts w:cstheme="minorHAnsi"/>
        </w:rPr>
        <w:t xml:space="preserve"> scale to respondents in an Inuit community.</w:t>
      </w:r>
    </w:p>
    <w:p w14:paraId="37947C2C" w14:textId="77777777" w:rsidR="007744A4" w:rsidRDefault="007744A4" w:rsidP="007744A4"/>
    <w:p w14:paraId="6FAE7417" w14:textId="495B197F" w:rsidR="00AD62BA" w:rsidRDefault="00AD62BA" w:rsidP="007744A4">
      <w:r w:rsidRPr="00A12680">
        <w:t xml:space="preserve">Division 45 of the APA. (2020). Warrior’s Path Presidential Task Force. Protecting and defending our people: </w:t>
      </w:r>
      <w:proofErr w:type="spellStart"/>
      <w:r w:rsidRPr="00A12680">
        <w:t>Nakni</w:t>
      </w:r>
      <w:proofErr w:type="spellEnd"/>
      <w:r w:rsidRPr="00A12680">
        <w:t xml:space="preserve"> </w:t>
      </w:r>
      <w:proofErr w:type="spellStart"/>
      <w:r w:rsidRPr="00A12680">
        <w:t>tushka</w:t>
      </w:r>
      <w:proofErr w:type="spellEnd"/>
      <w:r w:rsidRPr="00A12680">
        <w:t xml:space="preserve"> </w:t>
      </w:r>
      <w:proofErr w:type="spellStart"/>
      <w:r w:rsidRPr="00A12680">
        <w:t>anowa</w:t>
      </w:r>
      <w:proofErr w:type="spellEnd"/>
      <w:r w:rsidRPr="00A12680">
        <w:t xml:space="preserve"> (The warrior’s path) Final Report. </w:t>
      </w:r>
      <w:r w:rsidRPr="00B011A8">
        <w:rPr>
          <w:i/>
          <w:iCs/>
        </w:rPr>
        <w:t>Journal of Indigenous Research, 9</w:t>
      </w:r>
      <w:r w:rsidRPr="00A12680">
        <w:t xml:space="preserve">(8). </w:t>
      </w:r>
      <w:hyperlink r:id="rId21" w:history="1">
        <w:r w:rsidRPr="004D5C6D">
          <w:rPr>
            <w:rStyle w:val="Hyperlink"/>
          </w:rPr>
          <w:t>https://doi.org/10.26077/2en0-6610</w:t>
        </w:r>
      </w:hyperlink>
    </w:p>
    <w:p w14:paraId="33F491CD" w14:textId="77777777" w:rsidR="00AD62BA" w:rsidRPr="007744A4" w:rsidRDefault="00AD62BA" w:rsidP="007744A4"/>
    <w:p w14:paraId="566C7F2C" w14:textId="1AD16461" w:rsidR="007744A4" w:rsidRPr="007744A4" w:rsidRDefault="007744A4" w:rsidP="007744A4">
      <w:pPr>
        <w:rPr>
          <w:i/>
          <w:iCs/>
        </w:rPr>
      </w:pPr>
      <w:r w:rsidRPr="007744A4">
        <w:rPr>
          <w:iCs/>
        </w:rPr>
        <w:lastRenderedPageBreak/>
        <w:t>Garcia, M., Morse, G., Trimble, J. E., Casillas, D.</w:t>
      </w:r>
      <w:r w:rsidR="007B0299">
        <w:rPr>
          <w:iCs/>
        </w:rPr>
        <w:t>,</w:t>
      </w:r>
      <w:r w:rsidRPr="007744A4">
        <w:rPr>
          <w:iCs/>
        </w:rPr>
        <w:t xml:space="preserve"> Boyd, B.</w:t>
      </w:r>
      <w:r w:rsidR="007B0299">
        <w:rPr>
          <w:iCs/>
        </w:rPr>
        <w:t>,</w:t>
      </w:r>
      <w:r w:rsidRPr="007744A4">
        <w:rPr>
          <w:iCs/>
        </w:rPr>
        <w:t xml:space="preserve"> &amp; King, J. (2017). A partnership with the people: Skillful navigation of culture and ethics. In S. L. Stewart, R. Moodley, &amp; A. E. Hyatt (Eds.)</w:t>
      </w:r>
      <w:r w:rsidR="007B0299" w:rsidRPr="007B0299">
        <w:t>,</w:t>
      </w:r>
      <w:r w:rsidRPr="007744A4">
        <w:rPr>
          <w:i/>
          <w:iCs/>
        </w:rPr>
        <w:t xml:space="preserve"> Indigenous </w:t>
      </w:r>
      <w:r w:rsidR="00677975">
        <w:rPr>
          <w:i/>
          <w:iCs/>
        </w:rPr>
        <w:t>c</w:t>
      </w:r>
      <w:r w:rsidRPr="007744A4">
        <w:rPr>
          <w:i/>
          <w:iCs/>
        </w:rPr>
        <w:t xml:space="preserve">ultures and </w:t>
      </w:r>
      <w:r w:rsidR="00677975">
        <w:rPr>
          <w:i/>
          <w:iCs/>
        </w:rPr>
        <w:t>m</w:t>
      </w:r>
      <w:r w:rsidRPr="007744A4">
        <w:rPr>
          <w:i/>
          <w:iCs/>
        </w:rPr>
        <w:t xml:space="preserve">ental </w:t>
      </w:r>
      <w:r w:rsidR="00677975">
        <w:rPr>
          <w:i/>
          <w:iCs/>
        </w:rPr>
        <w:t>h</w:t>
      </w:r>
      <w:r w:rsidRPr="007744A4">
        <w:rPr>
          <w:i/>
          <w:iCs/>
        </w:rPr>
        <w:t xml:space="preserve">ealth </w:t>
      </w:r>
      <w:r w:rsidR="00677975">
        <w:rPr>
          <w:i/>
          <w:iCs/>
        </w:rPr>
        <w:t>c</w:t>
      </w:r>
      <w:r w:rsidRPr="007744A4">
        <w:rPr>
          <w:i/>
          <w:iCs/>
        </w:rPr>
        <w:t xml:space="preserve">ounselling. </w:t>
      </w:r>
      <w:r w:rsidRPr="00677975">
        <w:t>Routledge.</w:t>
      </w:r>
    </w:p>
    <w:p w14:paraId="1B579700" w14:textId="77777777" w:rsidR="007744A4" w:rsidRPr="007744A4" w:rsidRDefault="007744A4" w:rsidP="007744A4"/>
    <w:p w14:paraId="0A489094" w14:textId="132C053B" w:rsidR="007744A4" w:rsidRPr="007744A4" w:rsidRDefault="007744A4" w:rsidP="007744A4">
      <w:r w:rsidRPr="007744A4">
        <w:t xml:space="preserve">Geertz, C. (1973). </w:t>
      </w:r>
      <w:r w:rsidRPr="007744A4">
        <w:rPr>
          <w:i/>
          <w:iCs/>
        </w:rPr>
        <w:t>The interpretation of cultures: Selected essays</w:t>
      </w:r>
      <w:r w:rsidRPr="007744A4">
        <w:t>. Basic Books.</w:t>
      </w:r>
    </w:p>
    <w:p w14:paraId="1CDF2C60" w14:textId="77777777" w:rsidR="007744A4" w:rsidRPr="007744A4" w:rsidRDefault="007744A4" w:rsidP="007744A4"/>
    <w:p w14:paraId="3BCE19A9" w14:textId="4613CC8B" w:rsidR="007744A4" w:rsidRDefault="00132D93" w:rsidP="007744A4">
      <w:r w:rsidRPr="00132D93">
        <w:t xml:space="preserve">Goldschmidt, W. (1966). </w:t>
      </w:r>
      <w:r w:rsidRPr="00132D93">
        <w:rPr>
          <w:i/>
          <w:iCs/>
        </w:rPr>
        <w:t>Comparative functionalism</w:t>
      </w:r>
      <w:r w:rsidRPr="00132D93">
        <w:t>. Univ</w:t>
      </w:r>
      <w:r w:rsidR="000258A6">
        <w:t>ersity</w:t>
      </w:r>
      <w:r w:rsidRPr="00132D93">
        <w:t xml:space="preserve"> of California Press.</w:t>
      </w:r>
    </w:p>
    <w:p w14:paraId="2F3452DE" w14:textId="77777777" w:rsidR="00132D93" w:rsidRPr="007744A4" w:rsidRDefault="00132D93" w:rsidP="007744A4"/>
    <w:p w14:paraId="6CBB44A1" w14:textId="77777777" w:rsidR="007744A4" w:rsidRPr="007744A4" w:rsidRDefault="007744A4" w:rsidP="007744A4">
      <w:r w:rsidRPr="007744A4">
        <w:t>Gone, J. (2012). Indigenous traditional knowledge and substance abuse treatment outcomes: The problem of efficacy evaluation. </w:t>
      </w:r>
      <w:r w:rsidRPr="007744A4">
        <w:rPr>
          <w:i/>
          <w:iCs/>
        </w:rPr>
        <w:t>The American Journal of Drug and Alcohol Abuse, 28</w:t>
      </w:r>
      <w:r w:rsidRPr="007744A4">
        <w:t>(5), 493-497.</w:t>
      </w:r>
    </w:p>
    <w:p w14:paraId="6744C554" w14:textId="77777777" w:rsidR="007744A4" w:rsidRPr="007744A4" w:rsidRDefault="007744A4" w:rsidP="007744A4"/>
    <w:p w14:paraId="545316A2" w14:textId="77777777" w:rsidR="007744A4" w:rsidRPr="007744A4" w:rsidRDefault="007744A4" w:rsidP="007744A4">
      <w:r w:rsidRPr="007744A4">
        <w:t>Gone, J. (2019). "The thing happened as he wished": Recovering an American Indian cultural psychology. </w:t>
      </w:r>
      <w:r w:rsidRPr="007744A4">
        <w:rPr>
          <w:i/>
          <w:iCs/>
        </w:rPr>
        <w:t>American Journal of Community Psychology, 64</w:t>
      </w:r>
      <w:r w:rsidRPr="007744A4">
        <w:t>(1-2), 172-184.</w:t>
      </w:r>
    </w:p>
    <w:p w14:paraId="12982D01" w14:textId="77777777" w:rsidR="007744A4" w:rsidRPr="007744A4" w:rsidRDefault="007744A4" w:rsidP="007744A4"/>
    <w:p w14:paraId="0F111C96" w14:textId="17AA1E20" w:rsidR="004200D6" w:rsidRDefault="00FF37DB" w:rsidP="007744A4">
      <w:r w:rsidRPr="00FF37DB">
        <w:t xml:space="preserve">Goodenough, W. (1980). Ethnographic field techniques. In H. </w:t>
      </w:r>
      <w:proofErr w:type="spellStart"/>
      <w:r w:rsidRPr="00FF37DB">
        <w:t>Triandis</w:t>
      </w:r>
      <w:proofErr w:type="spellEnd"/>
      <w:r w:rsidRPr="00FF37DB">
        <w:t xml:space="preserve"> &amp; J. Berry (Eds.), </w:t>
      </w:r>
      <w:r w:rsidRPr="00584DD8">
        <w:rPr>
          <w:i/>
          <w:iCs/>
        </w:rPr>
        <w:t>Handbook of cross-cultural psychology: Vol. 2. Methodology</w:t>
      </w:r>
      <w:r w:rsidRPr="00FF37DB">
        <w:t xml:space="preserve"> (pp. 29-55). Allyn &amp; Bacon.</w:t>
      </w:r>
    </w:p>
    <w:p w14:paraId="363A3C96" w14:textId="77777777" w:rsidR="00FF37DB" w:rsidRDefault="00FF37DB" w:rsidP="007744A4"/>
    <w:p w14:paraId="18F2F3CA" w14:textId="6D756D39" w:rsidR="007744A4" w:rsidRDefault="00DE224C" w:rsidP="007744A4">
      <w:r w:rsidRPr="00DE224C">
        <w:t xml:space="preserve">Johnson, T., Kulesa, P., Cho, Y. I., &amp; </w:t>
      </w:r>
      <w:proofErr w:type="spellStart"/>
      <w:r w:rsidRPr="00DE224C">
        <w:t>Shavitt</w:t>
      </w:r>
      <w:proofErr w:type="spellEnd"/>
      <w:r w:rsidRPr="00DE224C">
        <w:t xml:space="preserve">, S. (2005). The relation between culture and response styles: Evidence from 19 countries. </w:t>
      </w:r>
      <w:r w:rsidRPr="00DE224C">
        <w:rPr>
          <w:i/>
          <w:iCs/>
        </w:rPr>
        <w:t>Journal of Cross-cultural psychology, 36</w:t>
      </w:r>
      <w:r w:rsidRPr="00DE224C">
        <w:t>(2), 264-277.</w:t>
      </w:r>
    </w:p>
    <w:p w14:paraId="15BD8641" w14:textId="77777777" w:rsidR="00DE224C" w:rsidRPr="007744A4" w:rsidRDefault="00DE224C" w:rsidP="007744A4"/>
    <w:p w14:paraId="1C544600" w14:textId="3D1E34CA" w:rsidR="007744A4" w:rsidRDefault="00C77EB9" w:rsidP="007744A4">
      <w:pPr>
        <w:rPr>
          <w:rFonts w:cstheme="minorHAnsi"/>
        </w:rPr>
      </w:pPr>
      <w:r w:rsidRPr="00C77EB9">
        <w:rPr>
          <w:rFonts w:cstheme="minorHAnsi"/>
        </w:rPr>
        <w:t xml:space="preserve">Howard, J. (1985). </w:t>
      </w:r>
      <w:r w:rsidRPr="00C77EB9">
        <w:rPr>
          <w:rFonts w:cstheme="minorHAnsi"/>
          <w:i/>
          <w:iCs/>
        </w:rPr>
        <w:t>Margaret Mead, a life</w:t>
      </w:r>
      <w:r w:rsidRPr="00C77EB9">
        <w:rPr>
          <w:rFonts w:cstheme="minorHAnsi"/>
        </w:rPr>
        <w:t>. Fawcet Crest.</w:t>
      </w:r>
    </w:p>
    <w:p w14:paraId="50BA5579" w14:textId="77777777" w:rsidR="00C77EB9" w:rsidRPr="007744A4" w:rsidRDefault="00C77EB9" w:rsidP="007744A4">
      <w:pPr>
        <w:rPr>
          <w:i/>
          <w:iCs/>
        </w:rPr>
      </w:pPr>
    </w:p>
    <w:p w14:paraId="680E3508" w14:textId="7B74F23A" w:rsidR="007744A4" w:rsidRPr="007744A4" w:rsidRDefault="00C54845" w:rsidP="007744A4">
      <w:r w:rsidRPr="00C54845">
        <w:t xml:space="preserve">Hoy, T. (1982). Octavio Paz: the search for Mexican identity. </w:t>
      </w:r>
      <w:r w:rsidRPr="00C54845">
        <w:rPr>
          <w:i/>
          <w:iCs/>
        </w:rPr>
        <w:t>The Review of Politics, 44</w:t>
      </w:r>
      <w:r w:rsidRPr="00C54845">
        <w:t>(3), 370-385.</w:t>
      </w:r>
      <w:r>
        <w:t xml:space="preserve"> </w:t>
      </w:r>
      <w:r w:rsidR="007744A4" w:rsidRPr="007744A4">
        <w:t>doi:10.1017/S0034670500046623</w:t>
      </w:r>
    </w:p>
    <w:p w14:paraId="0415553E" w14:textId="77777777" w:rsidR="007744A4" w:rsidRPr="007744A4" w:rsidRDefault="007744A4" w:rsidP="007744A4"/>
    <w:p w14:paraId="4173DD20" w14:textId="77777777" w:rsidR="007744A4" w:rsidRPr="0057379C" w:rsidRDefault="007744A4" w:rsidP="007744A4">
      <w:pPr>
        <w:rPr>
          <w:rFonts w:cstheme="minorHAnsi"/>
        </w:rPr>
      </w:pPr>
      <w:r w:rsidRPr="0057379C">
        <w:rPr>
          <w:rFonts w:cstheme="minorHAnsi"/>
        </w:rPr>
        <w:t xml:space="preserve">Martin, L. (1986). “Eskimo Words for Snow”: A Case Study in the Genesis and Decay of an Anthropological Example. </w:t>
      </w:r>
      <w:r w:rsidRPr="0057379C">
        <w:rPr>
          <w:rFonts w:cstheme="minorHAnsi"/>
          <w:i/>
          <w:iCs/>
        </w:rPr>
        <w:t>American Anthropologist</w:t>
      </w:r>
      <w:r w:rsidRPr="0057379C">
        <w:rPr>
          <w:rFonts w:cstheme="minorHAnsi"/>
        </w:rPr>
        <w:t xml:space="preserve">, </w:t>
      </w:r>
      <w:r w:rsidRPr="0057379C">
        <w:rPr>
          <w:rFonts w:cstheme="minorHAnsi"/>
          <w:i/>
          <w:iCs/>
        </w:rPr>
        <w:t>88</w:t>
      </w:r>
      <w:r w:rsidRPr="0057379C">
        <w:rPr>
          <w:rFonts w:cstheme="minorHAnsi"/>
        </w:rPr>
        <w:t xml:space="preserve">(2), 418–423. </w:t>
      </w:r>
      <w:hyperlink r:id="rId22" w:history="1">
        <w:r w:rsidRPr="0057379C">
          <w:rPr>
            <w:rStyle w:val="Hyperlink"/>
            <w:rFonts w:cstheme="minorHAnsi"/>
          </w:rPr>
          <w:t>http://www.jstor.org/stable/677570</w:t>
        </w:r>
      </w:hyperlink>
    </w:p>
    <w:p w14:paraId="14F6F7E8" w14:textId="77777777" w:rsidR="007744A4" w:rsidRPr="007744A4" w:rsidRDefault="007744A4" w:rsidP="007744A4">
      <w:r w:rsidRPr="007744A4">
        <w:tab/>
      </w:r>
    </w:p>
    <w:p w14:paraId="61914C9B" w14:textId="5139FC46" w:rsidR="007744A4" w:rsidRDefault="007744A4" w:rsidP="007744A4">
      <w:pPr>
        <w:rPr>
          <w:b/>
          <w:bCs/>
        </w:rPr>
      </w:pPr>
      <w:r w:rsidRPr="008B6B71">
        <w:rPr>
          <w:b/>
          <w:bCs/>
        </w:rPr>
        <w:t>Maslow</w:t>
      </w:r>
      <w:r w:rsidR="008B6B71" w:rsidRPr="008B6B71">
        <w:rPr>
          <w:b/>
          <w:bCs/>
        </w:rPr>
        <w:t>’s</w:t>
      </w:r>
      <w:r w:rsidRPr="008B6B71">
        <w:rPr>
          <w:b/>
          <w:bCs/>
        </w:rPr>
        <w:t xml:space="preserve"> Hierarchy of </w:t>
      </w:r>
      <w:r w:rsidR="008B6B71" w:rsidRPr="008B6B71">
        <w:rPr>
          <w:b/>
          <w:bCs/>
        </w:rPr>
        <w:t>N</w:t>
      </w:r>
      <w:r w:rsidRPr="008B6B71">
        <w:rPr>
          <w:b/>
          <w:bCs/>
        </w:rPr>
        <w:t xml:space="preserve">eeds (informed by </w:t>
      </w:r>
      <w:r w:rsidR="008B6B71" w:rsidRPr="008B6B71">
        <w:rPr>
          <w:b/>
          <w:bCs/>
        </w:rPr>
        <w:t>Blackfoot</w:t>
      </w:r>
      <w:r w:rsidRPr="008B6B71">
        <w:rPr>
          <w:b/>
          <w:bCs/>
        </w:rPr>
        <w:t xml:space="preserve"> </w:t>
      </w:r>
      <w:r w:rsidR="008B6B71" w:rsidRPr="008B6B71">
        <w:rPr>
          <w:b/>
          <w:bCs/>
        </w:rPr>
        <w:t>nationality</w:t>
      </w:r>
      <w:r w:rsidRPr="008B6B71">
        <w:rPr>
          <w:b/>
          <w:bCs/>
        </w:rPr>
        <w:t xml:space="preserve">). The following citations will assist you in </w:t>
      </w:r>
      <w:r w:rsidR="008B6B71" w:rsidRPr="008B6B71">
        <w:rPr>
          <w:b/>
          <w:bCs/>
        </w:rPr>
        <w:t>learning</w:t>
      </w:r>
      <w:r w:rsidRPr="008B6B71">
        <w:rPr>
          <w:b/>
          <w:bCs/>
        </w:rPr>
        <w:t xml:space="preserve"> about </w:t>
      </w:r>
      <w:r w:rsidR="008B6B71" w:rsidRPr="008B6B71">
        <w:rPr>
          <w:b/>
          <w:bCs/>
        </w:rPr>
        <w:t>Blackfoot</w:t>
      </w:r>
      <w:r w:rsidRPr="008B6B71">
        <w:rPr>
          <w:b/>
          <w:bCs/>
        </w:rPr>
        <w:t xml:space="preserve"> influences on Maslow’s </w:t>
      </w:r>
      <w:r w:rsidR="008B6B71" w:rsidRPr="008B6B71">
        <w:rPr>
          <w:b/>
          <w:bCs/>
        </w:rPr>
        <w:t>hierarchy</w:t>
      </w:r>
      <w:r w:rsidRPr="008B6B71">
        <w:rPr>
          <w:b/>
          <w:bCs/>
        </w:rPr>
        <w:t xml:space="preserve"> of needs. There are more available through online search.</w:t>
      </w:r>
    </w:p>
    <w:p w14:paraId="790549B8" w14:textId="77777777" w:rsidR="0069658F" w:rsidRPr="008B6B71" w:rsidRDefault="0069658F" w:rsidP="007744A4">
      <w:pPr>
        <w:rPr>
          <w:b/>
          <w:bCs/>
        </w:rPr>
      </w:pPr>
    </w:p>
    <w:p w14:paraId="1E34C189" w14:textId="0A1C60B1" w:rsidR="007744A4" w:rsidRDefault="007744A4" w:rsidP="00A627E8">
      <w:pPr>
        <w:ind w:left="720"/>
      </w:pPr>
      <w:r w:rsidRPr="007744A4">
        <w:t xml:space="preserve">Blood, N., &amp; </w:t>
      </w:r>
      <w:proofErr w:type="spellStart"/>
      <w:r w:rsidRPr="007744A4">
        <w:t>Heavyhead</w:t>
      </w:r>
      <w:proofErr w:type="spellEnd"/>
      <w:r w:rsidRPr="007744A4">
        <w:t>, R. (2007</w:t>
      </w:r>
      <w:r w:rsidR="00843AC2">
        <w:t>, October 27</w:t>
      </w:r>
      <w:r w:rsidRPr="007744A4">
        <w:t>). </w:t>
      </w:r>
      <w:r w:rsidR="00B44BA0" w:rsidRPr="00B44BA0">
        <w:rPr>
          <w:i/>
          <w:iCs/>
        </w:rPr>
        <w:t xml:space="preserve">Blackfoot Influence on Abraham Maslow, Presented by Narcisse </w:t>
      </w:r>
      <w:proofErr w:type="gramStart"/>
      <w:r w:rsidR="00B44BA0" w:rsidRPr="00B44BA0">
        <w:rPr>
          <w:i/>
          <w:iCs/>
        </w:rPr>
        <w:t>Blood</w:t>
      </w:r>
      <w:proofErr w:type="gramEnd"/>
      <w:r w:rsidR="00B44BA0" w:rsidRPr="00B44BA0">
        <w:rPr>
          <w:i/>
          <w:iCs/>
        </w:rPr>
        <w:t xml:space="preserve"> and Ryan Heavy Head at the University of Montana</w:t>
      </w:r>
      <w:r w:rsidR="00B44BA0">
        <w:t xml:space="preserve"> [Video]</w:t>
      </w:r>
      <w:r w:rsidRPr="007744A4">
        <w:t xml:space="preserve">. Blackfoot Digital Library. </w:t>
      </w:r>
      <w:hyperlink r:id="rId23" w:history="1">
        <w:r w:rsidR="00843AC2" w:rsidRPr="004D5C6D">
          <w:rPr>
            <w:rStyle w:val="Hyperlink"/>
          </w:rPr>
          <w:t>https://digitallibrary.uleth.ca/digital/collection/bdl/id/1296/</w:t>
        </w:r>
      </w:hyperlink>
      <w:r w:rsidR="00843AC2">
        <w:t xml:space="preserve"> </w:t>
      </w:r>
    </w:p>
    <w:p w14:paraId="35671785" w14:textId="77777777" w:rsidR="00692B5D" w:rsidRPr="007744A4" w:rsidRDefault="00692B5D" w:rsidP="00A627E8">
      <w:pPr>
        <w:ind w:left="720"/>
      </w:pPr>
    </w:p>
    <w:p w14:paraId="33DC13C7" w14:textId="74AA3BB9" w:rsidR="008A76E3" w:rsidRDefault="008A76E3" w:rsidP="00A627E8">
      <w:pPr>
        <w:ind w:left="720"/>
      </w:pPr>
      <w:r w:rsidRPr="008A76E3">
        <w:t>Feigenbaum, K. D., &amp; Smith, R. A. (2020). Historical narratives: Abraham Maslow and Blackfoot interpretations.</w:t>
      </w:r>
      <w:r w:rsidR="003D3E7F">
        <w:t xml:space="preserve"> </w:t>
      </w:r>
      <w:r w:rsidRPr="003D3E7F">
        <w:rPr>
          <w:i/>
          <w:iCs/>
        </w:rPr>
        <w:t>The Humanistic Psychologist, 48</w:t>
      </w:r>
      <w:r w:rsidRPr="008A76E3">
        <w:t xml:space="preserve">(3), 232–243. </w:t>
      </w:r>
      <w:hyperlink r:id="rId24" w:history="1">
        <w:r w:rsidRPr="004D5C6D">
          <w:rPr>
            <w:rStyle w:val="Hyperlink"/>
          </w:rPr>
          <w:t>https://doi.org/10.1037/hum0000145</w:t>
        </w:r>
      </w:hyperlink>
    </w:p>
    <w:p w14:paraId="1218320F" w14:textId="63893CDF" w:rsidR="008A76E3" w:rsidRPr="0069658F" w:rsidRDefault="004020A8" w:rsidP="00A627E8">
      <w:pPr>
        <w:ind w:left="720"/>
        <w:rPr>
          <w:rFonts w:cstheme="minorHAnsi"/>
        </w:rPr>
      </w:pPr>
      <w:r>
        <w:rPr>
          <w:rFonts w:cstheme="minorHAnsi"/>
        </w:rPr>
        <w:t xml:space="preserve">  </w:t>
      </w:r>
    </w:p>
    <w:p w14:paraId="0D68DF59" w14:textId="3D268E8E" w:rsidR="007744A4" w:rsidRPr="0069658F" w:rsidRDefault="007744A4" w:rsidP="00A627E8">
      <w:pPr>
        <w:ind w:left="720"/>
        <w:rPr>
          <w:rFonts w:cstheme="minorHAnsi"/>
        </w:rPr>
      </w:pPr>
      <w:r w:rsidRPr="0069658F">
        <w:rPr>
          <w:rFonts w:cstheme="minorHAnsi"/>
        </w:rPr>
        <w:t>Government of Canada (2007, December 17). Rediscovering Blackfoot Science, How First Nations Helped Develop a Keystone of Modern Psychology. </w:t>
      </w:r>
      <w:r w:rsidRPr="0069658F">
        <w:rPr>
          <w:rStyle w:val="Emphasis"/>
          <w:rFonts w:cstheme="minorHAnsi"/>
        </w:rPr>
        <w:t xml:space="preserve">Social Sciences and Humanities </w:t>
      </w:r>
      <w:r w:rsidRPr="0069658F">
        <w:rPr>
          <w:rStyle w:val="Emphasis"/>
          <w:rFonts w:cstheme="minorHAnsi"/>
        </w:rPr>
        <w:lastRenderedPageBreak/>
        <w:t>Research Council. </w:t>
      </w:r>
      <w:r w:rsidRPr="0069658F">
        <w:rPr>
          <w:rFonts w:cstheme="minorHAnsi"/>
        </w:rPr>
        <w:t>Accessed on 26 April 2021</w:t>
      </w:r>
      <w:r w:rsidR="002B08EF" w:rsidRPr="0069658F">
        <w:rPr>
          <w:rFonts w:cstheme="minorHAnsi"/>
        </w:rPr>
        <w:t xml:space="preserve">, from </w:t>
      </w:r>
      <w:hyperlink r:id="rId25" w:history="1">
        <w:r w:rsidR="002B08EF" w:rsidRPr="0069658F">
          <w:rPr>
            <w:rStyle w:val="Hyperlink"/>
            <w:rFonts w:cstheme="minorHAnsi"/>
          </w:rPr>
          <w:t>https://www.sshrc-crsh.gc.ca/society-societe/stories-histoires/story-histoire-eng.aspx?story_id=91</w:t>
        </w:r>
      </w:hyperlink>
      <w:r w:rsidR="002B08EF" w:rsidRPr="0069658F">
        <w:rPr>
          <w:rFonts w:cstheme="minorHAnsi"/>
        </w:rPr>
        <w:t xml:space="preserve"> </w:t>
      </w:r>
    </w:p>
    <w:p w14:paraId="37F62164" w14:textId="77777777" w:rsidR="006D54B7" w:rsidRPr="007744A4" w:rsidRDefault="006D54B7" w:rsidP="00A627E8">
      <w:pPr>
        <w:ind w:left="720"/>
      </w:pPr>
    </w:p>
    <w:p w14:paraId="0B4D0B63" w14:textId="55DD1DEC" w:rsidR="007744A4" w:rsidRDefault="007744A4" w:rsidP="00A627E8">
      <w:pPr>
        <w:ind w:left="720"/>
      </w:pPr>
      <w:r w:rsidRPr="007744A4">
        <w:t>Michel, K.L. (2014</w:t>
      </w:r>
      <w:r w:rsidR="00630802">
        <w:t>, April 19</w:t>
      </w:r>
      <w:r w:rsidRPr="007744A4">
        <w:t>)</w:t>
      </w:r>
      <w:r w:rsidR="00630802">
        <w:t>.</w:t>
      </w:r>
      <w:r w:rsidRPr="007744A4">
        <w:t xml:space="preserve"> </w:t>
      </w:r>
      <w:r w:rsidRPr="0079744C">
        <w:rPr>
          <w:rFonts w:ascii="Times New Roman" w:hAnsi="Times New Roman" w:cs="Times New Roman"/>
        </w:rPr>
        <w:t>Maslow’s Hierarchy Connected to Blackfoot Beliefs.</w:t>
      </w:r>
      <w:r w:rsidRPr="007744A4">
        <w:t xml:space="preserve"> </w:t>
      </w:r>
      <w:r w:rsidR="0079744C" w:rsidRPr="00A627E8">
        <w:rPr>
          <w:i/>
          <w:iCs/>
        </w:rPr>
        <w:t>A Digital Native American</w:t>
      </w:r>
      <w:r w:rsidR="0079744C">
        <w:t xml:space="preserve">. </w:t>
      </w:r>
      <w:hyperlink r:id="rId26" w:history="1">
        <w:r w:rsidR="00A627E8" w:rsidRPr="004D5C6D">
          <w:rPr>
            <w:rStyle w:val="Hyperlink"/>
          </w:rPr>
          <w:t>https://lincolnmichel.wordpress.com/2014/04/19/maslows-hierarchy-connected-to-blackfoot-beliefs/</w:t>
        </w:r>
      </w:hyperlink>
      <w:r w:rsidR="00A627E8">
        <w:t xml:space="preserve"> </w:t>
      </w:r>
    </w:p>
    <w:p w14:paraId="26EC623A" w14:textId="77777777" w:rsidR="00EF7BDE" w:rsidRPr="007744A4" w:rsidRDefault="00EF7BDE" w:rsidP="007744A4"/>
    <w:p w14:paraId="25BA9555" w14:textId="77777777" w:rsidR="007744A4" w:rsidRPr="008C11AB" w:rsidRDefault="007744A4" w:rsidP="007744A4">
      <w:pPr>
        <w:rPr>
          <w:rFonts w:cstheme="minorHAnsi"/>
        </w:rPr>
      </w:pPr>
      <w:r w:rsidRPr="008C11AB">
        <w:rPr>
          <w:rFonts w:cstheme="minorHAnsi"/>
        </w:rPr>
        <w:t xml:space="preserve">Feigenbaum, K. D., &amp; Smith, R. A. (2020). Historical narratives: Abraham Maslow and Blackfoot interpretations. </w:t>
      </w:r>
      <w:r w:rsidRPr="008C11AB">
        <w:rPr>
          <w:rStyle w:val="Emphasis"/>
          <w:rFonts w:cstheme="minorHAnsi"/>
        </w:rPr>
        <w:t>The Humanistic Psychologist, 48</w:t>
      </w:r>
      <w:r w:rsidRPr="008C11AB">
        <w:rPr>
          <w:rFonts w:cstheme="minorHAnsi"/>
        </w:rPr>
        <w:t xml:space="preserve">(3), 232–243. </w:t>
      </w:r>
      <w:hyperlink r:id="rId27" w:tgtFrame="_blank" w:history="1">
        <w:r w:rsidRPr="008C11AB">
          <w:rPr>
            <w:rStyle w:val="Hyperlink"/>
            <w:rFonts w:cstheme="minorHAnsi"/>
          </w:rPr>
          <w:t>https://doi.org/10.1037/hum0000145</w:t>
        </w:r>
      </w:hyperlink>
    </w:p>
    <w:p w14:paraId="01FF927C" w14:textId="77777777" w:rsidR="007744A4" w:rsidRPr="007744A4" w:rsidRDefault="007744A4" w:rsidP="007744A4"/>
    <w:p w14:paraId="44A33FCA" w14:textId="199C07F5" w:rsidR="007744A4" w:rsidRPr="007744A4" w:rsidRDefault="007744A4" w:rsidP="007744A4">
      <w:r w:rsidRPr="007744A4">
        <w:t xml:space="preserve">Mead, M. (1959). </w:t>
      </w:r>
      <w:r w:rsidRPr="007744A4">
        <w:rPr>
          <w:i/>
          <w:iCs/>
        </w:rPr>
        <w:t>An anthropologist at work: Writings of Ruth Benedict</w:t>
      </w:r>
      <w:r w:rsidRPr="007744A4">
        <w:t xml:space="preserve">. </w:t>
      </w:r>
      <w:r w:rsidR="007057F0" w:rsidRPr="007744A4">
        <w:t>Houghton</w:t>
      </w:r>
      <w:r w:rsidRPr="007744A4">
        <w:t>-Mifflin.</w:t>
      </w:r>
    </w:p>
    <w:p w14:paraId="45D310AF" w14:textId="77777777" w:rsidR="007744A4" w:rsidRPr="007744A4" w:rsidRDefault="007744A4" w:rsidP="007744A4"/>
    <w:p w14:paraId="4D33F46C" w14:textId="77777777" w:rsidR="007744A4" w:rsidRPr="007744A4" w:rsidRDefault="007744A4" w:rsidP="007744A4">
      <w:r w:rsidRPr="007744A4">
        <w:t xml:space="preserve">Meara, N. M. &amp; Day, J. D. (2003). Possibilities and challenges for academic psychology: Uncertain science, interpretative conversation, and virtuous community. </w:t>
      </w:r>
      <w:r w:rsidRPr="007744A4">
        <w:rPr>
          <w:i/>
          <w:iCs/>
        </w:rPr>
        <w:t>American Behavioral Scientist, 47</w:t>
      </w:r>
      <w:r w:rsidRPr="007744A4">
        <w:t xml:space="preserve">(4), 459-478. </w:t>
      </w:r>
    </w:p>
    <w:p w14:paraId="5D34ADD2" w14:textId="77777777" w:rsidR="007744A4" w:rsidRPr="007744A4" w:rsidRDefault="007744A4" w:rsidP="007744A4"/>
    <w:p w14:paraId="36E49AB3" w14:textId="5AD56A80" w:rsidR="007744A4" w:rsidRDefault="00A237F0" w:rsidP="007744A4">
      <w:r w:rsidRPr="00A237F0">
        <w:t xml:space="preserve">Mello, M. M., &amp; Wolf, L. E. (2010). The Havasupai Indian tribe case—lessons for research involving stored biologic samples. </w:t>
      </w:r>
      <w:r w:rsidRPr="00A237F0">
        <w:rPr>
          <w:i/>
          <w:iCs/>
        </w:rPr>
        <w:t>New England Journal of Medicine, 363</w:t>
      </w:r>
      <w:r w:rsidRPr="00A237F0">
        <w:t>(3), 204-207.</w:t>
      </w:r>
    </w:p>
    <w:p w14:paraId="53BC9E00" w14:textId="77777777" w:rsidR="00A237F0" w:rsidRPr="007744A4" w:rsidRDefault="00A237F0" w:rsidP="007744A4"/>
    <w:p w14:paraId="7B0F96FF" w14:textId="2099DAE9" w:rsidR="007744A4" w:rsidRPr="007744A4" w:rsidRDefault="007744A4" w:rsidP="007744A4">
      <w:r w:rsidRPr="007744A4">
        <w:t xml:space="preserve">Montero, M. (2004). New horizons for knowledge: The influence of citizen participation. In L. Jason, C. Keys, Y. Suarez-Balcazar, </w:t>
      </w:r>
      <w:r w:rsidR="00581E8E">
        <w:t>&amp;</w:t>
      </w:r>
      <w:r w:rsidRPr="007744A4">
        <w:t xml:space="preserve"> M. Davis (Eds.), </w:t>
      </w:r>
      <w:r w:rsidRPr="007744A4">
        <w:rPr>
          <w:i/>
          <w:iCs/>
        </w:rPr>
        <w:t>Participatory community research: Theories and methods in acti</w:t>
      </w:r>
      <w:r w:rsidRPr="007744A4">
        <w:t xml:space="preserve">on (pp. 251-261). American Psychological Association. </w:t>
      </w:r>
    </w:p>
    <w:p w14:paraId="2020A9E7" w14:textId="77777777" w:rsidR="007744A4" w:rsidRPr="007744A4" w:rsidRDefault="007744A4" w:rsidP="007744A4"/>
    <w:p w14:paraId="2022C0BC" w14:textId="08A54FD9" w:rsidR="007744A4" w:rsidRPr="007744A4" w:rsidRDefault="007744A4" w:rsidP="007744A4">
      <w:r w:rsidRPr="007744A4">
        <w:t xml:space="preserve">Powdermaker, H. (1967). </w:t>
      </w:r>
      <w:r w:rsidRPr="007744A4">
        <w:rPr>
          <w:i/>
          <w:iCs/>
        </w:rPr>
        <w:t>Stranger and Friend: The Way of an Anthropologist</w:t>
      </w:r>
      <w:r w:rsidRPr="007744A4">
        <w:t>. W. W. Norton.</w:t>
      </w:r>
      <w:r w:rsidRPr="007744A4">
        <w:br/>
      </w:r>
    </w:p>
    <w:p w14:paraId="6A8F838D" w14:textId="2D9E179F" w:rsidR="000B5F39" w:rsidRDefault="00270FE6" w:rsidP="007744A4">
      <w:pPr>
        <w:rPr>
          <w:color w:val="000000" w:themeColor="text1"/>
        </w:rPr>
      </w:pPr>
      <w:r w:rsidRPr="00270FE6">
        <w:rPr>
          <w:color w:val="000000" w:themeColor="text1"/>
        </w:rPr>
        <w:t xml:space="preserve">Rasmus, S. M., Trickett, E., Charles, B., John, S., &amp; Allen, J. (2019). The </w:t>
      </w:r>
      <w:proofErr w:type="spellStart"/>
      <w:r w:rsidRPr="0094552C">
        <w:rPr>
          <w:i/>
          <w:iCs/>
          <w:color w:val="000000" w:themeColor="text1"/>
        </w:rPr>
        <w:t>qasgiq</w:t>
      </w:r>
      <w:proofErr w:type="spellEnd"/>
      <w:r w:rsidRPr="00270FE6">
        <w:rPr>
          <w:color w:val="000000" w:themeColor="text1"/>
        </w:rPr>
        <w:t xml:space="preserve"> model as an </w:t>
      </w:r>
      <w:r w:rsidR="0094552C">
        <w:rPr>
          <w:color w:val="000000" w:themeColor="text1"/>
        </w:rPr>
        <w:t>I</w:t>
      </w:r>
      <w:r w:rsidRPr="00270FE6">
        <w:rPr>
          <w:color w:val="000000" w:themeColor="text1"/>
        </w:rPr>
        <w:t xml:space="preserve">ndigenous intervention: Using the cultural logic of contexts to build protective factors for Alaska Native suicide and alcohol misuse prevention. </w:t>
      </w:r>
      <w:r w:rsidRPr="00270FE6">
        <w:rPr>
          <w:i/>
          <w:iCs/>
          <w:color w:val="000000" w:themeColor="text1"/>
        </w:rPr>
        <w:t>Cultural diversity and ethnic minority psychology, 25</w:t>
      </w:r>
      <w:r w:rsidRPr="00270FE6">
        <w:rPr>
          <w:color w:val="000000" w:themeColor="text1"/>
        </w:rPr>
        <w:t>(1), 44.</w:t>
      </w:r>
    </w:p>
    <w:p w14:paraId="51461DF0" w14:textId="77777777" w:rsidR="00270FE6" w:rsidRPr="007744A4" w:rsidRDefault="00270FE6" w:rsidP="007744A4">
      <w:pPr>
        <w:rPr>
          <w:color w:val="000000" w:themeColor="text1"/>
        </w:rPr>
      </w:pPr>
    </w:p>
    <w:p w14:paraId="19821628" w14:textId="024015EF" w:rsidR="0094552C" w:rsidRDefault="007C563B" w:rsidP="007744A4">
      <w:pPr>
        <w:rPr>
          <w:rFonts w:eastAsia="Times New Roman"/>
          <w:kern w:val="0"/>
          <w14:ligatures w14:val="none"/>
        </w:rPr>
      </w:pPr>
      <w:r w:rsidRPr="007C563B">
        <w:rPr>
          <w:rFonts w:eastAsia="Times New Roman"/>
          <w:kern w:val="0"/>
          <w14:ligatures w14:val="none"/>
        </w:rPr>
        <w:t xml:space="preserve">Rasmus, S. M., Charles, B., John, S., &amp; Allen, J. (2019). With a spirit that understands: Reflections on a long‐term community science initiative to end suicide in Alaska. </w:t>
      </w:r>
      <w:r w:rsidRPr="00587EE6">
        <w:rPr>
          <w:rFonts w:eastAsia="Times New Roman"/>
          <w:i/>
          <w:iCs/>
          <w:kern w:val="0"/>
          <w14:ligatures w14:val="none"/>
        </w:rPr>
        <w:t xml:space="preserve">American </w:t>
      </w:r>
      <w:r w:rsidR="00587EE6" w:rsidRPr="00587EE6">
        <w:rPr>
          <w:rFonts w:eastAsia="Times New Roman"/>
          <w:i/>
          <w:iCs/>
          <w:kern w:val="0"/>
          <w14:ligatures w14:val="none"/>
        </w:rPr>
        <w:t>J</w:t>
      </w:r>
      <w:r w:rsidRPr="00587EE6">
        <w:rPr>
          <w:rFonts w:eastAsia="Times New Roman"/>
          <w:i/>
          <w:iCs/>
          <w:kern w:val="0"/>
          <w14:ligatures w14:val="none"/>
        </w:rPr>
        <w:t xml:space="preserve">ournal of </w:t>
      </w:r>
      <w:r w:rsidR="00587EE6" w:rsidRPr="00587EE6">
        <w:rPr>
          <w:rFonts w:eastAsia="Times New Roman"/>
          <w:i/>
          <w:iCs/>
          <w:kern w:val="0"/>
          <w14:ligatures w14:val="none"/>
        </w:rPr>
        <w:t>C</w:t>
      </w:r>
      <w:r w:rsidRPr="00587EE6">
        <w:rPr>
          <w:rFonts w:eastAsia="Times New Roman"/>
          <w:i/>
          <w:iCs/>
          <w:kern w:val="0"/>
          <w14:ligatures w14:val="none"/>
        </w:rPr>
        <w:t xml:space="preserve">ommunity </w:t>
      </w:r>
      <w:r w:rsidR="00587EE6" w:rsidRPr="00587EE6">
        <w:rPr>
          <w:rFonts w:eastAsia="Times New Roman"/>
          <w:i/>
          <w:iCs/>
          <w:kern w:val="0"/>
          <w14:ligatures w14:val="none"/>
        </w:rPr>
        <w:t>P</w:t>
      </w:r>
      <w:r w:rsidRPr="00587EE6">
        <w:rPr>
          <w:rFonts w:eastAsia="Times New Roman"/>
          <w:i/>
          <w:iCs/>
          <w:kern w:val="0"/>
          <w14:ligatures w14:val="none"/>
        </w:rPr>
        <w:t>sychology, 64</w:t>
      </w:r>
      <w:r w:rsidRPr="007C563B">
        <w:rPr>
          <w:rFonts w:eastAsia="Times New Roman"/>
          <w:kern w:val="0"/>
          <w14:ligatures w14:val="none"/>
        </w:rPr>
        <w:t>(1-2), 34-45.</w:t>
      </w:r>
    </w:p>
    <w:p w14:paraId="6CBE0F6E" w14:textId="77777777" w:rsidR="007C563B" w:rsidRPr="007744A4" w:rsidRDefault="007C563B" w:rsidP="007744A4">
      <w:pPr>
        <w:rPr>
          <w:rFonts w:eastAsia="Times New Roman"/>
          <w:i/>
          <w:iCs/>
          <w:color w:val="000000" w:themeColor="text1"/>
          <w:kern w:val="0"/>
          <w14:ligatures w14:val="none"/>
        </w:rPr>
      </w:pPr>
    </w:p>
    <w:p w14:paraId="6DBBEFA1" w14:textId="350A09CF" w:rsidR="007744A4" w:rsidRPr="007744A4" w:rsidRDefault="001B3EC5" w:rsidP="007744A4">
      <w:pPr>
        <w:rPr>
          <w:bCs/>
          <w:iCs/>
        </w:rPr>
      </w:pPr>
      <w:r w:rsidRPr="001B3EC5">
        <w:rPr>
          <w:iCs/>
        </w:rPr>
        <w:t xml:space="preserve">Ragin, D. F., &amp; Keenan, J. P. (Eds.). (2021). </w:t>
      </w:r>
      <w:r w:rsidRPr="001B3EC5">
        <w:rPr>
          <w:i/>
        </w:rPr>
        <w:t>Handbook of research methods in health psychology</w:t>
      </w:r>
      <w:r w:rsidRPr="001B3EC5">
        <w:rPr>
          <w:iCs/>
        </w:rPr>
        <w:t>. Routledge.</w:t>
      </w:r>
    </w:p>
    <w:p w14:paraId="5DE4D2F2" w14:textId="77777777" w:rsidR="007744A4" w:rsidRPr="007744A4" w:rsidRDefault="007744A4" w:rsidP="007744A4">
      <w:pPr>
        <w:rPr>
          <w:bCs/>
          <w:iCs/>
        </w:rPr>
      </w:pPr>
    </w:p>
    <w:p w14:paraId="2E7D77A4" w14:textId="527BE052" w:rsidR="007744A4" w:rsidRPr="007744A4" w:rsidRDefault="007744A4" w:rsidP="007744A4">
      <w:proofErr w:type="spellStart"/>
      <w:r w:rsidRPr="007744A4">
        <w:t>Reverby</w:t>
      </w:r>
      <w:proofErr w:type="spellEnd"/>
      <w:r w:rsidRPr="007744A4">
        <w:t>, S.</w:t>
      </w:r>
      <w:r w:rsidR="004A4AB5">
        <w:t xml:space="preserve"> M.</w:t>
      </w:r>
      <w:r w:rsidRPr="007744A4">
        <w:t xml:space="preserve"> (2009). </w:t>
      </w:r>
      <w:r w:rsidRPr="007744A4">
        <w:rPr>
          <w:i/>
          <w:iCs/>
        </w:rPr>
        <w:t>Examining Tuskegee: The infamous syphilis study and its legacy</w:t>
      </w:r>
      <w:r w:rsidRPr="007744A4">
        <w:t xml:space="preserve">. University of North Carolina Press. </w:t>
      </w:r>
    </w:p>
    <w:p w14:paraId="1E638D5F" w14:textId="77777777" w:rsidR="007744A4" w:rsidRPr="007744A4" w:rsidRDefault="007744A4" w:rsidP="007744A4"/>
    <w:p w14:paraId="6C33313A" w14:textId="5989DE65" w:rsidR="007744A4" w:rsidRPr="007744A4" w:rsidRDefault="007744A4" w:rsidP="007744A4">
      <w:pPr>
        <w:rPr>
          <w:iCs/>
        </w:rPr>
      </w:pPr>
      <w:r w:rsidRPr="007744A4">
        <w:t>Rivkin, I. D., Lopez, E.</w:t>
      </w:r>
      <w:r w:rsidR="008E1971">
        <w:t xml:space="preserve"> </w:t>
      </w:r>
      <w:r w:rsidRPr="007744A4">
        <w:t>D.</w:t>
      </w:r>
      <w:r w:rsidR="008E1971">
        <w:t xml:space="preserve"> </w:t>
      </w:r>
      <w:r w:rsidRPr="007744A4">
        <w:t xml:space="preserve">S., Quaintance, T. M., Trimble, J. E., Hopkins, S., Fleming, C., Orr, E., &amp; Mohatt, G. V. (2011). Value of community partnership for understanding stress and coping in rural </w:t>
      </w:r>
      <w:proofErr w:type="spellStart"/>
      <w:r w:rsidRPr="007744A4">
        <w:t>Yup’ik</w:t>
      </w:r>
      <w:proofErr w:type="spellEnd"/>
      <w:r w:rsidRPr="007744A4">
        <w:t xml:space="preserve"> communities: The CANHR study. </w:t>
      </w:r>
      <w:r w:rsidRPr="007744A4">
        <w:rPr>
          <w:i/>
          <w:iCs/>
        </w:rPr>
        <w:t>Journal of Health Disparities Research and Practice. 4(</w:t>
      </w:r>
      <w:r w:rsidRPr="007744A4">
        <w:rPr>
          <w:iCs/>
        </w:rPr>
        <w:t>3), 1-17.</w:t>
      </w:r>
    </w:p>
    <w:p w14:paraId="02F4755C" w14:textId="77777777" w:rsidR="007744A4" w:rsidRPr="007744A4" w:rsidRDefault="007744A4" w:rsidP="007744A4">
      <w:pPr>
        <w:rPr>
          <w:iCs/>
        </w:rPr>
      </w:pPr>
    </w:p>
    <w:p w14:paraId="7747047D" w14:textId="4E336332" w:rsidR="007744A4" w:rsidRPr="007744A4" w:rsidRDefault="007744A4" w:rsidP="007744A4">
      <w:pPr>
        <w:rPr>
          <w:i/>
          <w:iCs/>
        </w:rPr>
      </w:pPr>
      <w:r w:rsidRPr="007744A4">
        <w:lastRenderedPageBreak/>
        <w:t>Rivkin, I.</w:t>
      </w:r>
      <w:r w:rsidR="00702BA2">
        <w:t xml:space="preserve"> D.</w:t>
      </w:r>
      <w:r w:rsidRPr="007744A4">
        <w:t>, Johnson, S., Lopez, E., Orr, E., &amp; Trimble, J. E. (2012</w:t>
      </w:r>
      <w:r w:rsidR="00291F2F">
        <w:t>, February 10</w:t>
      </w:r>
      <w:r w:rsidRPr="007744A4">
        <w:t xml:space="preserve">). Understanding </w:t>
      </w:r>
      <w:proofErr w:type="spellStart"/>
      <w:r w:rsidRPr="007744A4">
        <w:t>Yup’ik</w:t>
      </w:r>
      <w:proofErr w:type="spellEnd"/>
      <w:r w:rsidRPr="007744A4">
        <w:t xml:space="preserve"> conceptions of stress within the context of rapid cultural change</w:t>
      </w:r>
      <w:r w:rsidR="000A7F64">
        <w:t xml:space="preserve"> [Symposium]</w:t>
      </w:r>
      <w:r w:rsidR="004A1A12">
        <w:t>.</w:t>
      </w:r>
      <w:r w:rsidRPr="007744A4">
        <w:t xml:space="preserve"> </w:t>
      </w:r>
      <w:r w:rsidRPr="007744A4">
        <w:rPr>
          <w:i/>
          <w:iCs/>
        </w:rPr>
        <w:t xml:space="preserve">Global Journal of Community Psychology Practice, 2(3). </w:t>
      </w:r>
      <w:hyperlink r:id="rId28" w:history="1">
        <w:r w:rsidRPr="007744A4">
          <w:rPr>
            <w:rStyle w:val="Hyperlink"/>
            <w:rFonts w:ascii="Times New Roman" w:hAnsi="Times New Roman" w:cs="Times New Roman"/>
            <w:i/>
            <w:iCs/>
          </w:rPr>
          <w:t>http://www.gjcpp.org/en/resource.php?issue=8&amp;resource=66</w:t>
        </w:r>
      </w:hyperlink>
    </w:p>
    <w:p w14:paraId="7A8426D8" w14:textId="77777777" w:rsidR="007744A4" w:rsidRPr="007744A4" w:rsidRDefault="007744A4" w:rsidP="007744A4"/>
    <w:p w14:paraId="532ECB2D" w14:textId="3809CE42" w:rsidR="007744A4" w:rsidRDefault="00C15603" w:rsidP="007744A4">
      <w:pPr>
        <w:rPr>
          <w:iCs/>
        </w:rPr>
      </w:pPr>
      <w:r w:rsidRPr="00C15603">
        <w:rPr>
          <w:iCs/>
        </w:rPr>
        <w:t>Rivkin, I., Trimble, J.</w:t>
      </w:r>
      <w:r>
        <w:rPr>
          <w:iCs/>
        </w:rPr>
        <w:t xml:space="preserve"> E.</w:t>
      </w:r>
      <w:r w:rsidRPr="00C15603">
        <w:rPr>
          <w:iCs/>
        </w:rPr>
        <w:t xml:space="preserve">, Lopez, E. D. S., Johnson, S., Orr, E., &amp; Allen, J. (2013). Disseminating research in rural </w:t>
      </w:r>
      <w:proofErr w:type="spellStart"/>
      <w:r w:rsidRPr="00C15603">
        <w:rPr>
          <w:iCs/>
        </w:rPr>
        <w:t>Yup’ik</w:t>
      </w:r>
      <w:proofErr w:type="spellEnd"/>
      <w:r w:rsidRPr="00C15603">
        <w:rPr>
          <w:iCs/>
        </w:rPr>
        <w:t xml:space="preserve"> communities: challenges and ethical considerations in moving from discovery to intervention development. </w:t>
      </w:r>
      <w:r w:rsidRPr="00C15603">
        <w:rPr>
          <w:i/>
        </w:rPr>
        <w:t>International Journal of Circumpolar Health, 72</w:t>
      </w:r>
      <w:r w:rsidRPr="00C15603">
        <w:rPr>
          <w:iCs/>
        </w:rPr>
        <w:t xml:space="preserve">(1). </w:t>
      </w:r>
      <w:hyperlink r:id="rId29" w:history="1">
        <w:r w:rsidRPr="004D5C6D">
          <w:rPr>
            <w:rStyle w:val="Hyperlink"/>
            <w:iCs/>
          </w:rPr>
          <w:t>https://doi.org/10.3402/ijch.v72i0.20958</w:t>
        </w:r>
      </w:hyperlink>
    </w:p>
    <w:p w14:paraId="20013224" w14:textId="77777777" w:rsidR="00C15603" w:rsidRPr="007744A4" w:rsidRDefault="00C15603" w:rsidP="007744A4">
      <w:pPr>
        <w:rPr>
          <w:iCs/>
        </w:rPr>
      </w:pPr>
    </w:p>
    <w:p w14:paraId="45357023" w14:textId="77777777" w:rsidR="007744A4" w:rsidRPr="007744A4" w:rsidRDefault="007744A4" w:rsidP="007744A4">
      <w:pPr>
        <w:rPr>
          <w:bCs/>
          <w:iCs/>
        </w:rPr>
      </w:pPr>
      <w:r w:rsidRPr="007744A4">
        <w:rPr>
          <w:bCs/>
          <w:iCs/>
        </w:rPr>
        <w:t xml:space="preserve">Rivkin, I. D., Johnson, S., Lopez, E., Trimble, J. E., Quaintance, T., &amp; Orr, E. (2017). </w:t>
      </w:r>
      <w:proofErr w:type="spellStart"/>
      <w:r w:rsidRPr="007744A4">
        <w:rPr>
          <w:bCs/>
          <w:iCs/>
        </w:rPr>
        <w:t>Yup’ik</w:t>
      </w:r>
      <w:proofErr w:type="spellEnd"/>
      <w:r w:rsidRPr="007744A4">
        <w:rPr>
          <w:bCs/>
          <w:iCs/>
        </w:rPr>
        <w:t xml:space="preserve"> understanding of stress within the context of rapid cultural change. </w:t>
      </w:r>
      <w:r w:rsidRPr="007744A4">
        <w:rPr>
          <w:bCs/>
          <w:i/>
          <w:iCs/>
        </w:rPr>
        <w:t>Journal of Community Psychology, 45</w:t>
      </w:r>
      <w:r w:rsidRPr="007744A4">
        <w:rPr>
          <w:bCs/>
          <w:iCs/>
        </w:rPr>
        <w:t>(1), 33-52.</w:t>
      </w:r>
    </w:p>
    <w:p w14:paraId="2E1BD30C" w14:textId="77777777" w:rsidR="007744A4" w:rsidRPr="007744A4" w:rsidRDefault="007744A4" w:rsidP="007744A4">
      <w:pPr>
        <w:rPr>
          <w:iCs/>
        </w:rPr>
      </w:pPr>
    </w:p>
    <w:p w14:paraId="4329C30F" w14:textId="34E7F73D" w:rsidR="007744A4" w:rsidRDefault="00DF7D5C" w:rsidP="007744A4">
      <w:pPr>
        <w:rPr>
          <w:iCs/>
        </w:rPr>
      </w:pPr>
      <w:r w:rsidRPr="00DF7D5C">
        <w:rPr>
          <w:iCs/>
        </w:rPr>
        <w:t xml:space="preserve">Rivkin, I., Lopez, E. D., Trimble, J. E., Johnson, S., Orr, E., &amp; Quaintance, T. (2019). Cultural values, coping, and hope in </w:t>
      </w:r>
      <w:proofErr w:type="spellStart"/>
      <w:r w:rsidRPr="00DF7D5C">
        <w:rPr>
          <w:iCs/>
        </w:rPr>
        <w:t>Yup'ik</w:t>
      </w:r>
      <w:proofErr w:type="spellEnd"/>
      <w:r w:rsidRPr="00DF7D5C">
        <w:rPr>
          <w:iCs/>
        </w:rPr>
        <w:t xml:space="preserve"> communities facing rapid cultural change. </w:t>
      </w:r>
      <w:r w:rsidRPr="00DF7D5C">
        <w:rPr>
          <w:i/>
        </w:rPr>
        <w:t xml:space="preserve">Journal of </w:t>
      </w:r>
      <w:r>
        <w:rPr>
          <w:i/>
        </w:rPr>
        <w:t>C</w:t>
      </w:r>
      <w:r w:rsidRPr="00DF7D5C">
        <w:rPr>
          <w:i/>
        </w:rPr>
        <w:t xml:space="preserve">ommunity </w:t>
      </w:r>
      <w:r>
        <w:rPr>
          <w:i/>
        </w:rPr>
        <w:t>P</w:t>
      </w:r>
      <w:r w:rsidRPr="00DF7D5C">
        <w:rPr>
          <w:i/>
        </w:rPr>
        <w:t>sychology, 47</w:t>
      </w:r>
      <w:r w:rsidRPr="00DF7D5C">
        <w:rPr>
          <w:iCs/>
        </w:rPr>
        <w:t>(3), 611-627.</w:t>
      </w:r>
    </w:p>
    <w:p w14:paraId="4B8777AB" w14:textId="77777777" w:rsidR="00DF7D5C" w:rsidRPr="007744A4" w:rsidRDefault="00DF7D5C" w:rsidP="007744A4"/>
    <w:p w14:paraId="3B6CD428" w14:textId="6A00299E" w:rsidR="007744A4" w:rsidRDefault="00BD606A" w:rsidP="007744A4">
      <w:r w:rsidRPr="00BD606A">
        <w:t xml:space="preserve">Santiago‐Rivera, A. L., </w:t>
      </w:r>
      <w:proofErr w:type="spellStart"/>
      <w:r w:rsidRPr="00BD606A">
        <w:t>Skawennio</w:t>
      </w:r>
      <w:proofErr w:type="spellEnd"/>
      <w:r w:rsidRPr="00BD606A">
        <w:t xml:space="preserve"> Morse, G., Hunt, A., &amp; Lickers, H. (1998). Building a community‐based research partnership: Lessons from the Mohawk Nation of Akwesasne. </w:t>
      </w:r>
      <w:r w:rsidRPr="00BD606A">
        <w:rPr>
          <w:i/>
          <w:iCs/>
        </w:rPr>
        <w:t>Journal of Community Psychology, 26</w:t>
      </w:r>
      <w:r w:rsidRPr="00BD606A">
        <w:t>(2), 163-174.</w:t>
      </w:r>
      <w:r w:rsidR="00A0075B">
        <w:t xml:space="preserve"> </w:t>
      </w:r>
      <w:hyperlink r:id="rId30" w:history="1">
        <w:r w:rsidR="00A0075B" w:rsidRPr="004D5C6D">
          <w:rPr>
            <w:rStyle w:val="Hyperlink"/>
          </w:rPr>
          <w:t>https://doi.org/10.1002/(SICI)1520-6629(199803)26:2&lt;163::AID-JCOP5&gt;3.0.CO;2-Y</w:t>
        </w:r>
      </w:hyperlink>
      <w:r w:rsidR="00A0075B">
        <w:t xml:space="preserve"> </w:t>
      </w:r>
    </w:p>
    <w:p w14:paraId="61C0FC8F" w14:textId="77777777" w:rsidR="00BD606A" w:rsidRPr="007744A4" w:rsidRDefault="00BD606A" w:rsidP="007744A4"/>
    <w:p w14:paraId="5913E942" w14:textId="3D66D9F0" w:rsidR="007744A4" w:rsidRPr="007744A4" w:rsidRDefault="007744A4" w:rsidP="007744A4">
      <w:proofErr w:type="spellStart"/>
      <w:proofErr w:type="gramStart"/>
      <w:r w:rsidRPr="007744A4">
        <w:t>Skawen:nio</w:t>
      </w:r>
      <w:proofErr w:type="spellEnd"/>
      <w:proofErr w:type="gramEnd"/>
      <w:r w:rsidRPr="007744A4">
        <w:t xml:space="preserve"> Morse, G., &amp; Garcia, M. A. (2021). Dreams, visions, and hallucinations with Indigenous populations: Ethical considerations. In G. </w:t>
      </w:r>
      <w:proofErr w:type="spellStart"/>
      <w:proofErr w:type="gramStart"/>
      <w:r w:rsidRPr="007744A4">
        <w:t>Skawen:nio</w:t>
      </w:r>
      <w:proofErr w:type="spellEnd"/>
      <w:proofErr w:type="gramEnd"/>
      <w:r w:rsidRPr="007744A4">
        <w:t xml:space="preserve"> Morse &amp; V. Tsinnijinnie Lomay (Eds.), </w:t>
      </w:r>
      <w:r w:rsidRPr="007744A4">
        <w:rPr>
          <w:i/>
          <w:iCs/>
        </w:rPr>
        <w:t>Understanding Indigenous perspectives: Visions, dreams, and hallucinations</w:t>
      </w:r>
      <w:r w:rsidRPr="007744A4">
        <w:t> (pp. 9-22).</w:t>
      </w:r>
      <w:r w:rsidR="00B05462">
        <w:t xml:space="preserve"> </w:t>
      </w:r>
      <w:proofErr w:type="spellStart"/>
      <w:r w:rsidRPr="007744A4">
        <w:t>Cognella</w:t>
      </w:r>
      <w:proofErr w:type="spellEnd"/>
      <w:r w:rsidRPr="007744A4">
        <w:t>.</w:t>
      </w:r>
    </w:p>
    <w:p w14:paraId="6BE863F0" w14:textId="77777777" w:rsidR="007744A4" w:rsidRPr="007744A4" w:rsidRDefault="007744A4" w:rsidP="007744A4"/>
    <w:p w14:paraId="654DA468" w14:textId="01A1FDB5" w:rsidR="007744A4" w:rsidRDefault="00B74B31" w:rsidP="007744A4">
      <w:r w:rsidRPr="00B74B31">
        <w:t xml:space="preserve">Skewes, M. C., Hallum‐Montes, R., Gardner, S. A., Blume, A. W., Ricker, A., &amp; </w:t>
      </w:r>
      <w:proofErr w:type="spellStart"/>
      <w:r w:rsidRPr="00B74B31">
        <w:t>FireMoon</w:t>
      </w:r>
      <w:proofErr w:type="spellEnd"/>
      <w:r w:rsidRPr="00B74B31">
        <w:t xml:space="preserve">, P. (2019). Partnering with Native communities to develop a culturally grounded intervention for substance use disorder. </w:t>
      </w:r>
      <w:r w:rsidRPr="00765A09">
        <w:rPr>
          <w:i/>
          <w:iCs/>
        </w:rPr>
        <w:t>American Journal of Community Psychology, 64</w:t>
      </w:r>
      <w:r w:rsidRPr="00B74B31">
        <w:t>(1-2), 72-82.</w:t>
      </w:r>
    </w:p>
    <w:p w14:paraId="262A975E" w14:textId="77777777" w:rsidR="00B74B31" w:rsidRPr="007744A4" w:rsidRDefault="00B74B31" w:rsidP="007744A4"/>
    <w:p w14:paraId="6EA90498" w14:textId="3C906647" w:rsidR="007744A4" w:rsidRPr="007744A4" w:rsidRDefault="007744A4" w:rsidP="007744A4">
      <w:r w:rsidRPr="007744A4">
        <w:t xml:space="preserve">Tierney, P. (2001). </w:t>
      </w:r>
      <w:r w:rsidRPr="007744A4">
        <w:rPr>
          <w:i/>
          <w:iCs/>
        </w:rPr>
        <w:t>Darkness in El Dorado: How scientists and journalists devastated the Amazon.</w:t>
      </w:r>
      <w:r w:rsidR="00765A09">
        <w:rPr>
          <w:i/>
          <w:iCs/>
        </w:rPr>
        <w:t xml:space="preserve"> </w:t>
      </w:r>
      <w:r w:rsidRPr="007744A4">
        <w:t xml:space="preserve">Norton. </w:t>
      </w:r>
    </w:p>
    <w:p w14:paraId="65221AC0" w14:textId="77777777" w:rsidR="007744A4" w:rsidRPr="007744A4" w:rsidRDefault="007744A4" w:rsidP="007744A4"/>
    <w:p w14:paraId="6869285D" w14:textId="16D5FEEF" w:rsidR="007744A4" w:rsidRPr="007744A4" w:rsidRDefault="007744A4" w:rsidP="007744A4">
      <w:r w:rsidRPr="007744A4">
        <w:t xml:space="preserve">Trickett, E. J., Kelly, J. G., &amp; Vincent, T. A. (1985). The spirit </w:t>
      </w:r>
      <w:r w:rsidRPr="00862892">
        <w:t>of</w:t>
      </w:r>
      <w:r w:rsidRPr="007744A4">
        <w:rPr>
          <w:i/>
          <w:iCs/>
        </w:rPr>
        <w:t xml:space="preserve"> </w:t>
      </w:r>
      <w:r w:rsidRPr="007744A4">
        <w:t xml:space="preserve">ecological inquiry in community research. In E. Susskind &amp; D. Klein (Eds.), </w:t>
      </w:r>
      <w:r w:rsidRPr="007744A4">
        <w:rPr>
          <w:i/>
          <w:iCs/>
        </w:rPr>
        <w:t>Community research: Methods, paradigms, and applications</w:t>
      </w:r>
      <w:r w:rsidRPr="007744A4">
        <w:t xml:space="preserve">. Praeger. </w:t>
      </w:r>
    </w:p>
    <w:p w14:paraId="253E7837" w14:textId="77777777" w:rsidR="007744A4" w:rsidRPr="007744A4" w:rsidRDefault="007744A4" w:rsidP="007744A4"/>
    <w:p w14:paraId="68969631" w14:textId="79D293FF" w:rsidR="007744A4" w:rsidRPr="007744A4" w:rsidRDefault="007744A4" w:rsidP="007744A4">
      <w:r w:rsidRPr="007744A4">
        <w:t>Trickett, E. J., Beehler, S., Deutsch, C., Green, L.W., Hawe, P., McLeroy,</w:t>
      </w:r>
      <w:r w:rsidR="00862892">
        <w:t xml:space="preserve"> </w:t>
      </w:r>
      <w:r w:rsidRPr="007744A4">
        <w:t>K., Miller, R. L., Rapkin, B.D., Schensul, J.J., Schulz, A. J., &amp; Trimble,</w:t>
      </w:r>
      <w:r w:rsidR="00862892">
        <w:t xml:space="preserve"> </w:t>
      </w:r>
      <w:r w:rsidRPr="007744A4">
        <w:t xml:space="preserve">J. E. (2011). Advancing the science of community-level interventions. </w:t>
      </w:r>
      <w:r w:rsidRPr="007744A4">
        <w:rPr>
          <w:i/>
        </w:rPr>
        <w:t>American Journal of Public Health, 1</w:t>
      </w:r>
      <w:r w:rsidR="007F0AA1">
        <w:rPr>
          <w:i/>
        </w:rPr>
        <w:t>0</w:t>
      </w:r>
      <w:r w:rsidRPr="007744A4">
        <w:rPr>
          <w:i/>
        </w:rPr>
        <w:t>1</w:t>
      </w:r>
      <w:r w:rsidRPr="007744A4">
        <w:t>(80), 1410-1419.</w:t>
      </w:r>
    </w:p>
    <w:p w14:paraId="740CC930" w14:textId="77777777" w:rsidR="007744A4" w:rsidRPr="007744A4" w:rsidRDefault="007744A4" w:rsidP="007744A4"/>
    <w:p w14:paraId="298F2C27" w14:textId="77777777" w:rsidR="007744A4" w:rsidRPr="007744A4" w:rsidRDefault="007744A4" w:rsidP="007744A4">
      <w:r w:rsidRPr="007744A4">
        <w:t xml:space="preserve">Trimble, J. E. (1977). Research in American Indian communities: Methodological issues and concerns. </w:t>
      </w:r>
      <w:r w:rsidRPr="007744A4">
        <w:rPr>
          <w:i/>
          <w:iCs/>
        </w:rPr>
        <w:t>Journal of Social Issues, 33</w:t>
      </w:r>
      <w:r w:rsidRPr="007744A4">
        <w:t xml:space="preserve">(4), 159-174. </w:t>
      </w:r>
    </w:p>
    <w:p w14:paraId="749D956D" w14:textId="77777777" w:rsidR="007744A4" w:rsidRPr="007744A4" w:rsidRDefault="007744A4" w:rsidP="007744A4"/>
    <w:p w14:paraId="5C7A7ED1" w14:textId="2001EDA4" w:rsidR="007744A4" w:rsidRPr="007744A4" w:rsidRDefault="007744A4" w:rsidP="007744A4">
      <w:r w:rsidRPr="007744A4">
        <w:lastRenderedPageBreak/>
        <w:t xml:space="preserve">Trimble, J. E. (2005). An inquiry into the measurement of racial and ethnic identity. In R. Carter (Ed.), </w:t>
      </w:r>
      <w:r w:rsidRPr="007744A4">
        <w:rPr>
          <w:i/>
          <w:iCs/>
        </w:rPr>
        <w:t xml:space="preserve">Handbook of racial-cultural psychology and counseling: Theory and research </w:t>
      </w:r>
      <w:r w:rsidRPr="007744A4">
        <w:t>(</w:t>
      </w:r>
      <w:r w:rsidR="000A6AF9">
        <w:t xml:space="preserve">Vol. 1, </w:t>
      </w:r>
      <w:r w:rsidRPr="007744A4">
        <w:t xml:space="preserve">pp. 320-359), Volume One. Wiley. </w:t>
      </w:r>
    </w:p>
    <w:p w14:paraId="625FFA74" w14:textId="77777777" w:rsidR="007744A4" w:rsidRPr="007744A4" w:rsidRDefault="007744A4" w:rsidP="007744A4"/>
    <w:p w14:paraId="17182EE0" w14:textId="77777777" w:rsidR="007744A4" w:rsidRPr="007744A4" w:rsidRDefault="007744A4" w:rsidP="007744A4">
      <w:r w:rsidRPr="007744A4">
        <w:t xml:space="preserve">Trimble, J. E. &amp; Dickson, R. (2005). Ethnic identity. In C. B. Fisher &amp; Lerner, R. M. </w:t>
      </w:r>
    </w:p>
    <w:p w14:paraId="15CB0F16" w14:textId="093B46E6" w:rsidR="007744A4" w:rsidRPr="007744A4" w:rsidRDefault="007744A4" w:rsidP="007744A4">
      <w:r w:rsidRPr="007744A4">
        <w:t xml:space="preserve">(Eds.), </w:t>
      </w:r>
      <w:r w:rsidRPr="007744A4">
        <w:rPr>
          <w:i/>
          <w:iCs/>
        </w:rPr>
        <w:t xml:space="preserve">Encyclopedia of applied developmental science, </w:t>
      </w:r>
      <w:r w:rsidRPr="007744A4">
        <w:t>(</w:t>
      </w:r>
      <w:r w:rsidR="000A6AF9">
        <w:t xml:space="preserve">Vol. 1, </w:t>
      </w:r>
      <w:r w:rsidRPr="007744A4">
        <w:t>pp. 415-420)</w:t>
      </w:r>
      <w:r w:rsidR="008953F0">
        <w:t xml:space="preserve">, </w:t>
      </w:r>
      <w:r w:rsidRPr="007744A4">
        <w:t xml:space="preserve">Sage. </w:t>
      </w:r>
    </w:p>
    <w:p w14:paraId="2A0E6BF3" w14:textId="77777777" w:rsidR="007744A4" w:rsidRPr="007744A4" w:rsidRDefault="007744A4" w:rsidP="007744A4"/>
    <w:p w14:paraId="4B49089B" w14:textId="3542DB0D" w:rsidR="007744A4" w:rsidRPr="007744A4" w:rsidRDefault="007744A4" w:rsidP="007744A4">
      <w:r w:rsidRPr="007744A4">
        <w:t xml:space="preserve">Trimble, J. E. &amp; Fisher, C. (Eds.) (2006). </w:t>
      </w:r>
      <w:r w:rsidRPr="007744A4">
        <w:rPr>
          <w:i/>
          <w:iCs/>
        </w:rPr>
        <w:t>Handbook of ethical and responsible research</w:t>
      </w:r>
      <w:r w:rsidR="00E84249">
        <w:t xml:space="preserve"> </w:t>
      </w:r>
      <w:r w:rsidRPr="007744A4">
        <w:rPr>
          <w:i/>
          <w:iCs/>
        </w:rPr>
        <w:t>with ethnocultural populations and communities</w:t>
      </w:r>
      <w:r w:rsidRPr="007744A4">
        <w:t xml:space="preserve">. Sage. </w:t>
      </w:r>
    </w:p>
    <w:p w14:paraId="4BDBF64E" w14:textId="77777777" w:rsidR="007744A4" w:rsidRPr="007744A4" w:rsidRDefault="007744A4" w:rsidP="007744A4"/>
    <w:p w14:paraId="5084D990" w14:textId="77777777" w:rsidR="007744A4" w:rsidRPr="007744A4" w:rsidRDefault="007744A4" w:rsidP="007744A4">
      <w:r w:rsidRPr="007744A4">
        <w:t xml:space="preserve">Trimble, J. E. (2007). Prolegomena for the connotation of construct use in the </w:t>
      </w:r>
    </w:p>
    <w:p w14:paraId="139B513E" w14:textId="77777777" w:rsidR="007744A4" w:rsidRPr="007744A4" w:rsidRDefault="007744A4" w:rsidP="007744A4">
      <w:r w:rsidRPr="007744A4">
        <w:t xml:space="preserve">measurement of ethnic and racial identity. </w:t>
      </w:r>
      <w:r w:rsidRPr="007744A4">
        <w:rPr>
          <w:i/>
          <w:iCs/>
        </w:rPr>
        <w:t>Journal of Counseling Psychology, 54</w:t>
      </w:r>
      <w:r w:rsidRPr="007744A4">
        <w:t xml:space="preserve">(3), 247-258. </w:t>
      </w:r>
    </w:p>
    <w:p w14:paraId="48886887" w14:textId="77777777" w:rsidR="007744A4" w:rsidRPr="007744A4" w:rsidRDefault="007744A4" w:rsidP="007744A4"/>
    <w:p w14:paraId="341ED4F1" w14:textId="77777777" w:rsidR="007744A4" w:rsidRPr="007744A4" w:rsidRDefault="007744A4" w:rsidP="007744A4">
      <w:r w:rsidRPr="007744A4">
        <w:t xml:space="preserve">Trimble, J. E. (2009). Commentary: No itinerant researchers tolerated: Principled and ethical perspectives and research with North American Indian communities. </w:t>
      </w:r>
      <w:r w:rsidRPr="007744A4">
        <w:rPr>
          <w:i/>
          <w:iCs/>
        </w:rPr>
        <w:t>Ethos, 36</w:t>
      </w:r>
      <w:r w:rsidRPr="007744A4">
        <w:t xml:space="preserve">(3), 379-382. </w:t>
      </w:r>
    </w:p>
    <w:p w14:paraId="1DDBE97C" w14:textId="77777777" w:rsidR="007744A4" w:rsidRPr="007744A4" w:rsidRDefault="007744A4" w:rsidP="007744A4"/>
    <w:p w14:paraId="1898FBE9" w14:textId="0117831D" w:rsidR="007744A4" w:rsidRPr="007744A4" w:rsidRDefault="007744A4" w:rsidP="007744A4">
      <w:r w:rsidRPr="007744A4">
        <w:t xml:space="preserve">Trimble, J. E. (2009). The principled conduct of counseling research with ethnocultural populations: The influence of moral judgments on scientific reasoning. In J. </w:t>
      </w:r>
      <w:proofErr w:type="spellStart"/>
      <w:r w:rsidRPr="007744A4">
        <w:t>Ponterotto</w:t>
      </w:r>
      <w:proofErr w:type="spellEnd"/>
      <w:r w:rsidRPr="007744A4">
        <w:t xml:space="preserve">, J. M. Casas, L. Suzuki, &amp; C. M. Alexander (Eds.) </w:t>
      </w:r>
      <w:r w:rsidRPr="007744A4">
        <w:rPr>
          <w:i/>
          <w:iCs/>
        </w:rPr>
        <w:t>Handbook of multicultural counseling</w:t>
      </w:r>
      <w:r w:rsidR="00C50AAD">
        <w:rPr>
          <w:i/>
          <w:iCs/>
        </w:rPr>
        <w:t xml:space="preserve"> </w:t>
      </w:r>
      <w:r w:rsidR="00C50AAD">
        <w:t>(3</w:t>
      </w:r>
      <w:r w:rsidR="00C50AAD" w:rsidRPr="00E820B7">
        <w:t>rd ed)</w:t>
      </w:r>
      <w:r w:rsidRPr="00E820B7">
        <w:t>.</w:t>
      </w:r>
      <w:r w:rsidRPr="007744A4">
        <w:rPr>
          <w:i/>
          <w:iCs/>
        </w:rPr>
        <w:t xml:space="preserve"> </w:t>
      </w:r>
      <w:r w:rsidRPr="007744A4">
        <w:t xml:space="preserve">Sage. </w:t>
      </w:r>
    </w:p>
    <w:p w14:paraId="4004E685" w14:textId="77777777" w:rsidR="007744A4" w:rsidRPr="007744A4" w:rsidRDefault="007744A4" w:rsidP="007744A4"/>
    <w:p w14:paraId="170C6418" w14:textId="5FCEF48E" w:rsidR="007744A4" w:rsidRPr="007744A4" w:rsidRDefault="007744A4" w:rsidP="007744A4">
      <w:r w:rsidRPr="007744A4">
        <w:t xml:space="preserve">Trimble, J. E., Pedersen, P., &amp; Rodela, R. (2009). The real cost of multicultural incompetence: An epilogue. In D. K. Deardorff, (Ed.), </w:t>
      </w:r>
      <w:r w:rsidRPr="007744A4">
        <w:rPr>
          <w:i/>
          <w:iCs/>
        </w:rPr>
        <w:t xml:space="preserve">Handbook of </w:t>
      </w:r>
      <w:r w:rsidR="009222B5">
        <w:rPr>
          <w:i/>
          <w:iCs/>
        </w:rPr>
        <w:t>i</w:t>
      </w:r>
      <w:r w:rsidRPr="007744A4">
        <w:rPr>
          <w:i/>
          <w:iCs/>
        </w:rPr>
        <w:t xml:space="preserve">ntercultural </w:t>
      </w:r>
      <w:r w:rsidR="009222B5">
        <w:rPr>
          <w:i/>
          <w:iCs/>
        </w:rPr>
        <w:t>c</w:t>
      </w:r>
      <w:r w:rsidRPr="007744A4">
        <w:rPr>
          <w:i/>
          <w:iCs/>
        </w:rPr>
        <w:t xml:space="preserve">ompetence. </w:t>
      </w:r>
      <w:r w:rsidRPr="007744A4">
        <w:t>Sage.</w:t>
      </w:r>
    </w:p>
    <w:p w14:paraId="5168B626" w14:textId="77777777" w:rsidR="007744A4" w:rsidRPr="007744A4" w:rsidRDefault="007744A4" w:rsidP="007744A4"/>
    <w:p w14:paraId="3920A9F2" w14:textId="2188D72F" w:rsidR="007744A4" w:rsidRPr="007744A4" w:rsidRDefault="007744A4" w:rsidP="007744A4">
      <w:r w:rsidRPr="007744A4">
        <w:t>Trimble, J. E., Scharron-del Rio, M. &amp; Bernal. G</w:t>
      </w:r>
      <w:r w:rsidRPr="007744A4">
        <w:rPr>
          <w:i/>
        </w:rPr>
        <w:t xml:space="preserve">. </w:t>
      </w:r>
      <w:r w:rsidRPr="007744A4">
        <w:t>(2010).</w:t>
      </w:r>
      <w:r w:rsidRPr="007744A4">
        <w:rPr>
          <w:i/>
        </w:rPr>
        <w:t xml:space="preserve"> </w:t>
      </w:r>
      <w:r w:rsidRPr="007744A4">
        <w:t>The itinerant researcher</w:t>
      </w:r>
      <w:r w:rsidRPr="007744A4">
        <w:rPr>
          <w:i/>
        </w:rPr>
        <w:t xml:space="preserve">: </w:t>
      </w:r>
      <w:r w:rsidRPr="007744A4">
        <w:t xml:space="preserve">Ethical and methodological issues in conducting cross-cultural mental health research. In D. C. Jack &amp; A. Ali (Eds.), </w:t>
      </w:r>
      <w:r w:rsidRPr="007744A4">
        <w:rPr>
          <w:i/>
        </w:rPr>
        <w:t xml:space="preserve">Cultural perspectives on women’s depression: Self-silencing, psychological </w:t>
      </w:r>
      <w:proofErr w:type="gramStart"/>
      <w:r w:rsidRPr="007744A4">
        <w:rPr>
          <w:i/>
        </w:rPr>
        <w:t>distress</w:t>
      </w:r>
      <w:proofErr w:type="gramEnd"/>
      <w:r w:rsidRPr="007744A4">
        <w:rPr>
          <w:i/>
        </w:rPr>
        <w:t xml:space="preserve"> and recovery </w:t>
      </w:r>
      <w:r w:rsidRPr="007744A4">
        <w:t>(pp. 73-95). Oxford.</w:t>
      </w:r>
    </w:p>
    <w:p w14:paraId="35247019" w14:textId="77777777" w:rsidR="007744A4" w:rsidRPr="007744A4" w:rsidRDefault="007744A4" w:rsidP="007744A4"/>
    <w:p w14:paraId="51ED37FD" w14:textId="50B8F343" w:rsidR="007744A4" w:rsidRDefault="007744A4" w:rsidP="007744A4">
      <w:pPr>
        <w:rPr>
          <w:rStyle w:val="Hyperlink"/>
          <w:rFonts w:ascii="Times New Roman" w:hAnsi="Times New Roman" w:cs="Times New Roman"/>
          <w:i/>
          <w:iCs/>
        </w:rPr>
      </w:pPr>
      <w:r w:rsidRPr="007744A4">
        <w:t>Trimble, J. E., Rivkin, I. D., Johnson, S., Lopez, D. S., Orr, E., Allen, J., Fok, C., &amp; Henry, D. B. (2012</w:t>
      </w:r>
      <w:r w:rsidR="00D66E4F">
        <w:t>, February 10</w:t>
      </w:r>
      <w:r w:rsidRPr="007744A4">
        <w:t>). ‘</w:t>
      </w:r>
      <w:proofErr w:type="spellStart"/>
      <w:r w:rsidRPr="007744A4">
        <w:t>Taringenqegcallrat</w:t>
      </w:r>
      <w:proofErr w:type="spellEnd"/>
      <w:r w:rsidRPr="007744A4">
        <w:t xml:space="preserve"> </w:t>
      </w:r>
      <w:proofErr w:type="spellStart"/>
      <w:r w:rsidRPr="007744A4">
        <w:t>cayarat</w:t>
      </w:r>
      <w:proofErr w:type="spellEnd"/>
      <w:r w:rsidRPr="007744A4">
        <w:t xml:space="preserve"> </w:t>
      </w:r>
      <w:proofErr w:type="spellStart"/>
      <w:r w:rsidRPr="007744A4">
        <w:t>umyuat-llu</w:t>
      </w:r>
      <w:proofErr w:type="spellEnd"/>
      <w:r w:rsidRPr="007744A4">
        <w:t>': Indigenous understandings in community based participatory research</w:t>
      </w:r>
      <w:r w:rsidR="00D66E4F">
        <w:t xml:space="preserve"> [Symposium]</w:t>
      </w:r>
      <w:r w:rsidRPr="007744A4">
        <w:t xml:space="preserve">. </w:t>
      </w:r>
      <w:r w:rsidRPr="007744A4">
        <w:rPr>
          <w:i/>
          <w:iCs/>
        </w:rPr>
        <w:t xml:space="preserve">Global Journal of Community Psychology Practice, 2(3). </w:t>
      </w:r>
      <w:hyperlink r:id="rId31" w:history="1">
        <w:r w:rsidRPr="007744A4">
          <w:rPr>
            <w:rStyle w:val="Hyperlink"/>
            <w:rFonts w:ascii="Times New Roman" w:hAnsi="Times New Roman" w:cs="Times New Roman"/>
            <w:i/>
            <w:iCs/>
          </w:rPr>
          <w:t>http://www.gjcpp.org/en/resource.php?issue=8&amp;resource=65</w:t>
        </w:r>
      </w:hyperlink>
    </w:p>
    <w:p w14:paraId="1489B4A3" w14:textId="77777777" w:rsidR="007744A4" w:rsidRPr="007744A4" w:rsidRDefault="007744A4" w:rsidP="007744A4">
      <w:pPr>
        <w:rPr>
          <w:i/>
          <w:iCs/>
        </w:rPr>
      </w:pPr>
    </w:p>
    <w:p w14:paraId="01E38EE3" w14:textId="12D8E342" w:rsidR="007744A4" w:rsidRPr="007744A4" w:rsidRDefault="007744A4" w:rsidP="007744A4">
      <w:pPr>
        <w:rPr>
          <w:i/>
          <w:iCs/>
        </w:rPr>
      </w:pPr>
      <w:r w:rsidRPr="007744A4">
        <w:t>Trimble, J. E, (2012</w:t>
      </w:r>
      <w:r w:rsidR="00D10ADF">
        <w:t>, February 10</w:t>
      </w:r>
      <w:r w:rsidRPr="007744A4">
        <w:t>). Ethno-measurement and Ethno-Scaling Obstacles in Community Based Research with Indigenous Populations</w:t>
      </w:r>
      <w:r w:rsidR="00D10ADF">
        <w:t xml:space="preserve"> [Symposium]</w:t>
      </w:r>
      <w:r w:rsidRPr="007744A4">
        <w:t>.</w:t>
      </w:r>
      <w:r w:rsidR="00D10ADF">
        <w:t xml:space="preserve"> </w:t>
      </w:r>
      <w:r w:rsidRPr="007744A4">
        <w:rPr>
          <w:i/>
          <w:iCs/>
        </w:rPr>
        <w:t xml:space="preserve">Global Journal of Community Psychology Practice, 2(3). </w:t>
      </w:r>
      <w:hyperlink r:id="rId32" w:history="1">
        <w:r w:rsidR="00D10ADF" w:rsidRPr="00DB7669">
          <w:rPr>
            <w:rStyle w:val="Hyperlink"/>
            <w:i/>
            <w:iCs/>
          </w:rPr>
          <w:t>http://www.gjcpp.org/en/resource.php?issue=8&amp;resource=69</w:t>
        </w:r>
      </w:hyperlink>
      <w:r w:rsidR="00D10ADF">
        <w:rPr>
          <w:i/>
          <w:iCs/>
          <w:u w:val="single"/>
        </w:rPr>
        <w:t xml:space="preserve"> </w:t>
      </w:r>
    </w:p>
    <w:p w14:paraId="11ED3A63" w14:textId="77777777" w:rsidR="007744A4" w:rsidRPr="007744A4" w:rsidRDefault="007744A4" w:rsidP="007744A4"/>
    <w:p w14:paraId="54E5A9FA" w14:textId="2834FD90" w:rsidR="007744A4" w:rsidRDefault="007744A4" w:rsidP="007744A4">
      <w:pPr>
        <w:rPr>
          <w:iCs/>
        </w:rPr>
      </w:pPr>
      <w:r w:rsidRPr="007744A4">
        <w:t xml:space="preserve">Trimble, J. E., Scharron-del Rio, M. &amp; Hill, J.S. (2012). Ethical considerations in the application of cultural adaptation models with ethnocultural populations. In G. Bernal &amp; M. Domenech Rodriguez (Eds.), </w:t>
      </w:r>
      <w:r w:rsidRPr="007744A4">
        <w:rPr>
          <w:i/>
          <w:iCs/>
        </w:rPr>
        <w:t xml:space="preserve">Cultural Adaptations: Tools for Evidence-Based Practice with Diverse Populations </w:t>
      </w:r>
      <w:r w:rsidRPr="007744A4">
        <w:rPr>
          <w:iCs/>
        </w:rPr>
        <w:t>(pp. 45-67). American Psychological Association.</w:t>
      </w:r>
    </w:p>
    <w:p w14:paraId="24147719" w14:textId="77777777" w:rsidR="007524EF" w:rsidRPr="007744A4" w:rsidRDefault="007524EF" w:rsidP="007744A4">
      <w:pPr>
        <w:rPr>
          <w:iCs/>
        </w:rPr>
      </w:pPr>
    </w:p>
    <w:p w14:paraId="09B6CDA4" w14:textId="77777777" w:rsidR="007744A4" w:rsidRPr="007744A4" w:rsidRDefault="007744A4" w:rsidP="007744A4">
      <w:pPr>
        <w:rPr>
          <w:iCs/>
        </w:rPr>
      </w:pPr>
    </w:p>
    <w:p w14:paraId="44FBBCAF" w14:textId="42EDB81B" w:rsidR="007744A4" w:rsidRPr="007744A4" w:rsidRDefault="007744A4" w:rsidP="007744A4">
      <w:pPr>
        <w:rPr>
          <w:iCs/>
        </w:rPr>
      </w:pPr>
      <w:r w:rsidRPr="007744A4">
        <w:rPr>
          <w:iCs/>
        </w:rPr>
        <w:lastRenderedPageBreak/>
        <w:t xml:space="preserve">Trimble, J. E., Scharron-del Rio, M. &amp; Casillas, D. (2013). Ethical matters and contentions in the principled conduct of research with ethnocultural communities In F.T.L. Leong, L. Comas- Dias, G.N. Hall, V. </w:t>
      </w:r>
      <w:proofErr w:type="spellStart"/>
      <w:r w:rsidRPr="007744A4">
        <w:rPr>
          <w:iCs/>
        </w:rPr>
        <w:t>McLloyd</w:t>
      </w:r>
      <w:proofErr w:type="spellEnd"/>
      <w:r w:rsidRPr="007744A4">
        <w:rPr>
          <w:iCs/>
        </w:rPr>
        <w:t xml:space="preserve">, V., &amp; J. E. Trimble (Eds.). </w:t>
      </w:r>
      <w:r w:rsidRPr="007744A4">
        <w:rPr>
          <w:i/>
          <w:iCs/>
        </w:rPr>
        <w:t>Handbook of multicultural psychology, Volumes I and II</w:t>
      </w:r>
      <w:r w:rsidRPr="007744A4">
        <w:rPr>
          <w:iCs/>
        </w:rPr>
        <w:t xml:space="preserve"> (pp. 59-82). Washington, DC; American Psychological Association.</w:t>
      </w:r>
    </w:p>
    <w:p w14:paraId="08825095" w14:textId="77777777" w:rsidR="007744A4" w:rsidRPr="007744A4" w:rsidRDefault="007744A4" w:rsidP="007744A4">
      <w:pPr>
        <w:rPr>
          <w:iCs/>
        </w:rPr>
      </w:pPr>
    </w:p>
    <w:p w14:paraId="0A5A10CA" w14:textId="57E0C06A" w:rsidR="007744A4" w:rsidRPr="007744A4" w:rsidRDefault="007744A4" w:rsidP="007744A4">
      <w:pPr>
        <w:rPr>
          <w:iCs/>
        </w:rPr>
      </w:pPr>
      <w:r w:rsidRPr="007744A4">
        <w:rPr>
          <w:iCs/>
        </w:rPr>
        <w:t xml:space="preserve">Trimble, J. E. (2013). Advancing understanding of cultural competence, cultural sensitivity, and the effects of cultural incompetence. In M. </w:t>
      </w:r>
      <w:proofErr w:type="spellStart"/>
      <w:r w:rsidRPr="007744A4">
        <w:rPr>
          <w:iCs/>
        </w:rPr>
        <w:t>Prinstein</w:t>
      </w:r>
      <w:proofErr w:type="spellEnd"/>
      <w:r w:rsidRPr="007744A4">
        <w:rPr>
          <w:iCs/>
        </w:rPr>
        <w:t xml:space="preserve"> &amp; M. Patterson, (Eds.)</w:t>
      </w:r>
      <w:r w:rsidRPr="00D20E68">
        <w:rPr>
          <w:iCs/>
        </w:rPr>
        <w:t xml:space="preserve"> </w:t>
      </w:r>
      <w:r w:rsidRPr="007744A4">
        <w:rPr>
          <w:i/>
          <w:iCs/>
        </w:rPr>
        <w:t>The portable mentor: Expert guide to a successful career in psychology, second edition</w:t>
      </w:r>
      <w:r w:rsidRPr="007744A4">
        <w:rPr>
          <w:iCs/>
        </w:rPr>
        <w:t>. Kluwer Academic/Plenum.</w:t>
      </w:r>
    </w:p>
    <w:p w14:paraId="3C42D2C0" w14:textId="77777777" w:rsidR="007744A4" w:rsidRPr="007744A4" w:rsidRDefault="007744A4" w:rsidP="007744A4">
      <w:pPr>
        <w:rPr>
          <w:iCs/>
        </w:rPr>
      </w:pPr>
    </w:p>
    <w:p w14:paraId="6A9BE085" w14:textId="61CFFB74" w:rsidR="007744A4" w:rsidRPr="007744A4" w:rsidRDefault="007744A4" w:rsidP="007744A4">
      <w:pPr>
        <w:rPr>
          <w:iCs/>
        </w:rPr>
      </w:pPr>
      <w:r w:rsidRPr="007744A4">
        <w:rPr>
          <w:iCs/>
        </w:rPr>
        <w:t xml:space="preserve">Trimble, J. E. &amp; Vaughn, L. (2014). Cultural measurement equivalence. In K. Keith (Ed.), </w:t>
      </w:r>
      <w:r w:rsidRPr="007744A4">
        <w:rPr>
          <w:i/>
          <w:iCs/>
        </w:rPr>
        <w:t xml:space="preserve">Encyclopedia of Cross-Cultural Psychology. </w:t>
      </w:r>
      <w:r w:rsidRPr="007744A4">
        <w:rPr>
          <w:iCs/>
        </w:rPr>
        <w:t>Wiley.</w:t>
      </w:r>
    </w:p>
    <w:p w14:paraId="7901472C" w14:textId="77777777" w:rsidR="007744A4" w:rsidRPr="007744A4" w:rsidRDefault="007744A4" w:rsidP="007744A4">
      <w:pPr>
        <w:rPr>
          <w:iCs/>
        </w:rPr>
      </w:pPr>
    </w:p>
    <w:p w14:paraId="411462AA" w14:textId="02EE855C" w:rsidR="007744A4" w:rsidRPr="007744A4" w:rsidRDefault="007744A4" w:rsidP="007744A4">
      <w:pPr>
        <w:rPr>
          <w:iCs/>
        </w:rPr>
      </w:pPr>
      <w:r w:rsidRPr="007744A4">
        <w:rPr>
          <w:iCs/>
        </w:rPr>
        <w:t xml:space="preserve">Trimble, J. E. &amp; Bhadra, N. (2014). Ethnic gloss. In K. Keith (Ed.), </w:t>
      </w:r>
      <w:r w:rsidRPr="007744A4">
        <w:rPr>
          <w:i/>
          <w:iCs/>
        </w:rPr>
        <w:t xml:space="preserve">Encyclopedia of cross-cultural psychology </w:t>
      </w:r>
      <w:r w:rsidRPr="007744A4">
        <w:rPr>
          <w:iCs/>
        </w:rPr>
        <w:t>(pp. 500-502).</w:t>
      </w:r>
      <w:r w:rsidRPr="007744A4">
        <w:rPr>
          <w:i/>
          <w:iCs/>
        </w:rPr>
        <w:t xml:space="preserve"> </w:t>
      </w:r>
      <w:r w:rsidRPr="007744A4">
        <w:rPr>
          <w:iCs/>
        </w:rPr>
        <w:t>Wiley.</w:t>
      </w:r>
    </w:p>
    <w:p w14:paraId="4619DB04" w14:textId="77777777" w:rsidR="007744A4" w:rsidRPr="007744A4" w:rsidRDefault="007744A4" w:rsidP="007744A4">
      <w:pPr>
        <w:rPr>
          <w:iCs/>
        </w:rPr>
      </w:pPr>
    </w:p>
    <w:p w14:paraId="68F3F853" w14:textId="1B3A49E4" w:rsidR="007744A4" w:rsidRPr="007744A4" w:rsidRDefault="007744A4" w:rsidP="007744A4">
      <w:pPr>
        <w:rPr>
          <w:bCs/>
          <w:iCs/>
        </w:rPr>
      </w:pPr>
      <w:r w:rsidRPr="007744A4">
        <w:rPr>
          <w:bCs/>
          <w:iCs/>
        </w:rPr>
        <w:t xml:space="preserve">Trimble, J. E. (2020). </w:t>
      </w:r>
      <w:r w:rsidRPr="007744A4">
        <w:rPr>
          <w:iCs/>
        </w:rPr>
        <w:t xml:space="preserve">“The Circling Spirits Call Us Home;” Marginal Methods, the Shaman, and Relational Approaches to Healing Research. In D. F. Ragin &amp; J. Keenan (Eds.), </w:t>
      </w:r>
      <w:r w:rsidRPr="007744A4">
        <w:rPr>
          <w:i/>
          <w:iCs/>
        </w:rPr>
        <w:t>Handbook of Research Methods in Health</w:t>
      </w:r>
      <w:r w:rsidRPr="007744A4">
        <w:rPr>
          <w:bCs/>
          <w:i/>
          <w:iCs/>
        </w:rPr>
        <w:t xml:space="preserve"> Psychology. </w:t>
      </w:r>
      <w:r w:rsidRPr="007744A4">
        <w:rPr>
          <w:bCs/>
          <w:iCs/>
        </w:rPr>
        <w:t>Routledge/Taylor &amp; Francis Group.</w:t>
      </w:r>
    </w:p>
    <w:p w14:paraId="1A72AAA0" w14:textId="77777777" w:rsidR="00A94AC9" w:rsidRPr="004D4AF7" w:rsidRDefault="00A94AC9" w:rsidP="00782774">
      <w:pPr>
        <w:rPr>
          <w:rFonts w:cstheme="minorHAnsi"/>
          <w:bCs/>
          <w:iCs/>
        </w:rPr>
      </w:pPr>
    </w:p>
    <w:p w14:paraId="6874845D" w14:textId="77777777" w:rsidR="00F351A6" w:rsidRPr="004D4AF7" w:rsidRDefault="00F351A6" w:rsidP="00782774">
      <w:pPr>
        <w:rPr>
          <w:rFonts w:cstheme="minorHAnsi"/>
          <w:bCs/>
          <w:iCs/>
        </w:rPr>
      </w:pPr>
    </w:p>
    <w:p w14:paraId="2B88AECA" w14:textId="7BA11CE8" w:rsidR="00A94AC9" w:rsidRPr="004D4AF7" w:rsidRDefault="00A94AC9" w:rsidP="00A94AC9">
      <w:pPr>
        <w:jc w:val="center"/>
        <w:rPr>
          <w:rFonts w:cstheme="minorHAnsi"/>
          <w:iCs/>
        </w:rPr>
      </w:pPr>
      <w:r w:rsidRPr="004D4AF7">
        <w:rPr>
          <w:rFonts w:cstheme="minorHAnsi"/>
          <w:iCs/>
          <w:noProof/>
        </w:rPr>
        <w:drawing>
          <wp:inline distT="0" distB="0" distL="0" distR="0" wp14:anchorId="6EDEF700" wp14:editId="1F41ACB1">
            <wp:extent cx="660400" cy="546100"/>
            <wp:effectExtent l="0" t="0" r="0" b="0"/>
            <wp:docPr id="9" name="Picture 4" descr="A red yellow and black circ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red yellow and black circle with black lines&#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0400" cy="546100"/>
                    </a:xfrm>
                    <a:prstGeom prst="rect">
                      <a:avLst/>
                    </a:prstGeom>
                    <a:noFill/>
                    <a:ln>
                      <a:noFill/>
                    </a:ln>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1E15A7F1" w14:textId="77777777" w:rsidR="00782774" w:rsidRPr="004D4AF7" w:rsidRDefault="00782774" w:rsidP="00782774">
      <w:pPr>
        <w:rPr>
          <w:rFonts w:cstheme="minorHAnsi"/>
          <w:bCs/>
          <w:iCs/>
        </w:rPr>
      </w:pPr>
    </w:p>
    <w:p w14:paraId="15A7B643" w14:textId="77777777" w:rsidR="007348DB" w:rsidRPr="004D4AF7" w:rsidRDefault="007348DB" w:rsidP="008103E9">
      <w:pPr>
        <w:rPr>
          <w:rFonts w:cstheme="minorHAnsi"/>
        </w:rPr>
      </w:pPr>
    </w:p>
    <w:sectPr w:rsidR="007348DB" w:rsidRPr="004D4AF7" w:rsidSect="00F33B88">
      <w:headerReference w:type="even" r:id="rId34"/>
      <w:headerReference w:type="default" r:id="rId3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0681" w14:textId="77777777" w:rsidR="00F33B88" w:rsidRDefault="00F33B88" w:rsidP="00A37A2D">
      <w:r>
        <w:separator/>
      </w:r>
    </w:p>
  </w:endnote>
  <w:endnote w:type="continuationSeparator" w:id="0">
    <w:p w14:paraId="0BF2E106" w14:textId="77777777" w:rsidR="00F33B88" w:rsidRDefault="00F33B88" w:rsidP="00A37A2D">
      <w:r>
        <w:continuationSeparator/>
      </w:r>
    </w:p>
  </w:endnote>
  <w:endnote w:type="continuationNotice" w:id="1">
    <w:p w14:paraId="061A8B82" w14:textId="77777777" w:rsidR="00F33B88" w:rsidRDefault="00F33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wati SC Regular">
    <w:altName w:val="Calibri"/>
    <w:charset w:val="00"/>
    <w:family w:val="auto"/>
    <w:pitch w:val="variable"/>
    <w:sig w:usb0="00000003" w:usb1="00000000" w:usb2="00000000" w:usb3="00000000" w:csb0="00000001" w:csb1="00000000"/>
  </w:font>
  <w:font w:name="American Typewriter">
    <w:altName w:val="Courier New"/>
    <w:charset w:val="4D"/>
    <w:family w:val="roman"/>
    <w:pitch w:val="variable"/>
    <w:sig w:usb0="A000006F" w:usb1="00000019" w:usb2="00000000" w:usb3="00000000" w:csb0="00000111" w:csb1="00000000"/>
  </w:font>
  <w:font w:name="Noteworthy Light">
    <w:altName w:val="Segoe UI Historic"/>
    <w:charset w:val="4D"/>
    <w:family w:val="auto"/>
    <w:pitch w:val="variable"/>
    <w:sig w:usb0="8000006F" w:usb1="08000048" w:usb2="146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A2EE" w14:textId="77777777" w:rsidR="00F33B88" w:rsidRDefault="00F33B88" w:rsidP="00A37A2D">
      <w:r>
        <w:separator/>
      </w:r>
    </w:p>
  </w:footnote>
  <w:footnote w:type="continuationSeparator" w:id="0">
    <w:p w14:paraId="42000F8E" w14:textId="77777777" w:rsidR="00F33B88" w:rsidRDefault="00F33B88" w:rsidP="00A37A2D">
      <w:r>
        <w:continuationSeparator/>
      </w:r>
    </w:p>
  </w:footnote>
  <w:footnote w:type="continuationNotice" w:id="1">
    <w:p w14:paraId="163D0320" w14:textId="77777777" w:rsidR="00F33B88" w:rsidRDefault="00F33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346388"/>
      <w:docPartObj>
        <w:docPartGallery w:val="Page Numbers (Top of Page)"/>
        <w:docPartUnique/>
      </w:docPartObj>
    </w:sdtPr>
    <w:sdtContent>
      <w:p w14:paraId="1D3C6B1C" w14:textId="55FDEE41" w:rsidR="00A37A2D" w:rsidRDefault="00A37A2D" w:rsidP="008236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111417" w14:textId="77777777" w:rsidR="00A37A2D" w:rsidRDefault="00A37A2D" w:rsidP="00A37A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1498961"/>
      <w:docPartObj>
        <w:docPartGallery w:val="Page Numbers (Top of Page)"/>
        <w:docPartUnique/>
      </w:docPartObj>
    </w:sdtPr>
    <w:sdtContent>
      <w:p w14:paraId="1CD0DCF4" w14:textId="6FB707BA" w:rsidR="00A37A2D" w:rsidRDefault="00A37A2D" w:rsidP="008236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747C48" w14:textId="77777777" w:rsidR="00A37A2D" w:rsidRDefault="00A37A2D" w:rsidP="00A37A2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75E"/>
    <w:multiLevelType w:val="hybridMultilevel"/>
    <w:tmpl w:val="6526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420EF"/>
    <w:multiLevelType w:val="hybridMultilevel"/>
    <w:tmpl w:val="0AB40580"/>
    <w:lvl w:ilvl="0" w:tplc="F9CA66C4">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BB73C3"/>
    <w:multiLevelType w:val="hybridMultilevel"/>
    <w:tmpl w:val="B7A2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65787"/>
    <w:multiLevelType w:val="hybridMultilevel"/>
    <w:tmpl w:val="00C8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697554">
    <w:abstractNumId w:val="3"/>
  </w:num>
  <w:num w:numId="2" w16cid:durableId="156262548">
    <w:abstractNumId w:val="1"/>
  </w:num>
  <w:num w:numId="3" w16cid:durableId="2026514151">
    <w:abstractNumId w:val="0"/>
  </w:num>
  <w:num w:numId="4" w16cid:durableId="1179276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E9"/>
    <w:rsid w:val="00016BB4"/>
    <w:rsid w:val="0002147D"/>
    <w:rsid w:val="000258A6"/>
    <w:rsid w:val="000301F9"/>
    <w:rsid w:val="00033FC2"/>
    <w:rsid w:val="00065193"/>
    <w:rsid w:val="00074648"/>
    <w:rsid w:val="000763FB"/>
    <w:rsid w:val="00076FCA"/>
    <w:rsid w:val="00091C70"/>
    <w:rsid w:val="000951B4"/>
    <w:rsid w:val="00096FD2"/>
    <w:rsid w:val="000A1238"/>
    <w:rsid w:val="000A6AF9"/>
    <w:rsid w:val="000A7F64"/>
    <w:rsid w:val="000B21E8"/>
    <w:rsid w:val="000B5F39"/>
    <w:rsid w:val="000B68AB"/>
    <w:rsid w:val="000C3DEC"/>
    <w:rsid w:val="000F1312"/>
    <w:rsid w:val="000F3717"/>
    <w:rsid w:val="00101CB4"/>
    <w:rsid w:val="001161EE"/>
    <w:rsid w:val="00127222"/>
    <w:rsid w:val="00132D93"/>
    <w:rsid w:val="00153B7C"/>
    <w:rsid w:val="001707EB"/>
    <w:rsid w:val="001726E6"/>
    <w:rsid w:val="00174C04"/>
    <w:rsid w:val="001842E2"/>
    <w:rsid w:val="001B3EC5"/>
    <w:rsid w:val="001B4BF0"/>
    <w:rsid w:val="001B5187"/>
    <w:rsid w:val="001C3A59"/>
    <w:rsid w:val="001D4FC8"/>
    <w:rsid w:val="001D51A5"/>
    <w:rsid w:val="00203A14"/>
    <w:rsid w:val="00210726"/>
    <w:rsid w:val="00213C7C"/>
    <w:rsid w:val="00270FE6"/>
    <w:rsid w:val="00281F7E"/>
    <w:rsid w:val="00286311"/>
    <w:rsid w:val="00291F2F"/>
    <w:rsid w:val="002A4416"/>
    <w:rsid w:val="002B08EF"/>
    <w:rsid w:val="002E5307"/>
    <w:rsid w:val="00303C8F"/>
    <w:rsid w:val="00306556"/>
    <w:rsid w:val="0031375E"/>
    <w:rsid w:val="00315EED"/>
    <w:rsid w:val="0031725B"/>
    <w:rsid w:val="00317554"/>
    <w:rsid w:val="00346E7D"/>
    <w:rsid w:val="00352FD0"/>
    <w:rsid w:val="003539B1"/>
    <w:rsid w:val="00354516"/>
    <w:rsid w:val="00373947"/>
    <w:rsid w:val="003A7802"/>
    <w:rsid w:val="003D3E7F"/>
    <w:rsid w:val="003E1179"/>
    <w:rsid w:val="003E5888"/>
    <w:rsid w:val="003E6DA6"/>
    <w:rsid w:val="003E7E44"/>
    <w:rsid w:val="004020A8"/>
    <w:rsid w:val="00407E3D"/>
    <w:rsid w:val="004200D6"/>
    <w:rsid w:val="00423FCD"/>
    <w:rsid w:val="00442E62"/>
    <w:rsid w:val="004846FA"/>
    <w:rsid w:val="00485230"/>
    <w:rsid w:val="004867EB"/>
    <w:rsid w:val="00493093"/>
    <w:rsid w:val="00495312"/>
    <w:rsid w:val="004A1A12"/>
    <w:rsid w:val="004A4AB5"/>
    <w:rsid w:val="004D4AF7"/>
    <w:rsid w:val="004D51C4"/>
    <w:rsid w:val="004D6E40"/>
    <w:rsid w:val="005003B8"/>
    <w:rsid w:val="0053464A"/>
    <w:rsid w:val="0057270D"/>
    <w:rsid w:val="005730D8"/>
    <w:rsid w:val="0057379C"/>
    <w:rsid w:val="00580680"/>
    <w:rsid w:val="00581E8E"/>
    <w:rsid w:val="00584DD8"/>
    <w:rsid w:val="00587EE6"/>
    <w:rsid w:val="0059661C"/>
    <w:rsid w:val="005A145F"/>
    <w:rsid w:val="005A6950"/>
    <w:rsid w:val="005B146F"/>
    <w:rsid w:val="005E65F0"/>
    <w:rsid w:val="00614F3C"/>
    <w:rsid w:val="00616B03"/>
    <w:rsid w:val="00630802"/>
    <w:rsid w:val="00665C78"/>
    <w:rsid w:val="00676A3C"/>
    <w:rsid w:val="00677975"/>
    <w:rsid w:val="00682AA5"/>
    <w:rsid w:val="00692B5D"/>
    <w:rsid w:val="0069658F"/>
    <w:rsid w:val="006B0D82"/>
    <w:rsid w:val="006C12B6"/>
    <w:rsid w:val="006D54B7"/>
    <w:rsid w:val="006F41DD"/>
    <w:rsid w:val="00702BA2"/>
    <w:rsid w:val="007057F0"/>
    <w:rsid w:val="0072677F"/>
    <w:rsid w:val="00731553"/>
    <w:rsid w:val="007348DB"/>
    <w:rsid w:val="00735ED4"/>
    <w:rsid w:val="0074065E"/>
    <w:rsid w:val="007524EF"/>
    <w:rsid w:val="00762074"/>
    <w:rsid w:val="00765A09"/>
    <w:rsid w:val="007744A4"/>
    <w:rsid w:val="00782774"/>
    <w:rsid w:val="00785130"/>
    <w:rsid w:val="00794918"/>
    <w:rsid w:val="00795A35"/>
    <w:rsid w:val="0079744C"/>
    <w:rsid w:val="00797E50"/>
    <w:rsid w:val="007B0299"/>
    <w:rsid w:val="007C4058"/>
    <w:rsid w:val="007C563B"/>
    <w:rsid w:val="007E72E2"/>
    <w:rsid w:val="007F0AA1"/>
    <w:rsid w:val="007F140B"/>
    <w:rsid w:val="008103E9"/>
    <w:rsid w:val="00811D5E"/>
    <w:rsid w:val="00812FF4"/>
    <w:rsid w:val="008273CC"/>
    <w:rsid w:val="00843AC2"/>
    <w:rsid w:val="00853707"/>
    <w:rsid w:val="00861EDF"/>
    <w:rsid w:val="00862892"/>
    <w:rsid w:val="00862F79"/>
    <w:rsid w:val="00866378"/>
    <w:rsid w:val="00877BD4"/>
    <w:rsid w:val="008953F0"/>
    <w:rsid w:val="00896958"/>
    <w:rsid w:val="008A2994"/>
    <w:rsid w:val="008A33E3"/>
    <w:rsid w:val="008A76E3"/>
    <w:rsid w:val="008B0FB1"/>
    <w:rsid w:val="008B6B71"/>
    <w:rsid w:val="008C11AB"/>
    <w:rsid w:val="008C6B93"/>
    <w:rsid w:val="008E1971"/>
    <w:rsid w:val="008E4E4D"/>
    <w:rsid w:val="00916EDB"/>
    <w:rsid w:val="009205EF"/>
    <w:rsid w:val="009222B5"/>
    <w:rsid w:val="009437AE"/>
    <w:rsid w:val="0094552C"/>
    <w:rsid w:val="00945EFC"/>
    <w:rsid w:val="009575A8"/>
    <w:rsid w:val="00962DEF"/>
    <w:rsid w:val="009712B7"/>
    <w:rsid w:val="00972BC2"/>
    <w:rsid w:val="009A1B4E"/>
    <w:rsid w:val="009B3A6B"/>
    <w:rsid w:val="009B7FB7"/>
    <w:rsid w:val="009C1EA7"/>
    <w:rsid w:val="009C4101"/>
    <w:rsid w:val="009C65F8"/>
    <w:rsid w:val="009D170D"/>
    <w:rsid w:val="00A0075B"/>
    <w:rsid w:val="00A05FA0"/>
    <w:rsid w:val="00A12680"/>
    <w:rsid w:val="00A237F0"/>
    <w:rsid w:val="00A23C68"/>
    <w:rsid w:val="00A3010F"/>
    <w:rsid w:val="00A37A2D"/>
    <w:rsid w:val="00A627E8"/>
    <w:rsid w:val="00A66ACD"/>
    <w:rsid w:val="00A66BA3"/>
    <w:rsid w:val="00A87912"/>
    <w:rsid w:val="00A94AC9"/>
    <w:rsid w:val="00AA33A7"/>
    <w:rsid w:val="00AB59B4"/>
    <w:rsid w:val="00AD1D1E"/>
    <w:rsid w:val="00AD62BA"/>
    <w:rsid w:val="00AE0F92"/>
    <w:rsid w:val="00B011A8"/>
    <w:rsid w:val="00B05462"/>
    <w:rsid w:val="00B1008A"/>
    <w:rsid w:val="00B12F2A"/>
    <w:rsid w:val="00B260F0"/>
    <w:rsid w:val="00B27415"/>
    <w:rsid w:val="00B44BA0"/>
    <w:rsid w:val="00B47178"/>
    <w:rsid w:val="00B662E3"/>
    <w:rsid w:val="00B74B31"/>
    <w:rsid w:val="00B751A6"/>
    <w:rsid w:val="00BA7A91"/>
    <w:rsid w:val="00BB25CA"/>
    <w:rsid w:val="00BB5A78"/>
    <w:rsid w:val="00BD160C"/>
    <w:rsid w:val="00BD181D"/>
    <w:rsid w:val="00BD606A"/>
    <w:rsid w:val="00BE78F6"/>
    <w:rsid w:val="00BF081E"/>
    <w:rsid w:val="00BF1A22"/>
    <w:rsid w:val="00BF1EC6"/>
    <w:rsid w:val="00BF5127"/>
    <w:rsid w:val="00C00EE3"/>
    <w:rsid w:val="00C139EB"/>
    <w:rsid w:val="00C15603"/>
    <w:rsid w:val="00C2103A"/>
    <w:rsid w:val="00C50AAD"/>
    <w:rsid w:val="00C54845"/>
    <w:rsid w:val="00C61820"/>
    <w:rsid w:val="00C623DC"/>
    <w:rsid w:val="00C73A58"/>
    <w:rsid w:val="00C77EB9"/>
    <w:rsid w:val="00CC7B7D"/>
    <w:rsid w:val="00CE5EB0"/>
    <w:rsid w:val="00CE6930"/>
    <w:rsid w:val="00D0676C"/>
    <w:rsid w:val="00D10ADF"/>
    <w:rsid w:val="00D20E68"/>
    <w:rsid w:val="00D26A95"/>
    <w:rsid w:val="00D34034"/>
    <w:rsid w:val="00D53E4D"/>
    <w:rsid w:val="00D603F6"/>
    <w:rsid w:val="00D633F6"/>
    <w:rsid w:val="00D66E4F"/>
    <w:rsid w:val="00D91341"/>
    <w:rsid w:val="00DA636E"/>
    <w:rsid w:val="00DD2ECC"/>
    <w:rsid w:val="00DE224C"/>
    <w:rsid w:val="00DF1A9A"/>
    <w:rsid w:val="00DF4064"/>
    <w:rsid w:val="00DF7D5C"/>
    <w:rsid w:val="00E065DE"/>
    <w:rsid w:val="00E17F6E"/>
    <w:rsid w:val="00E30141"/>
    <w:rsid w:val="00E42561"/>
    <w:rsid w:val="00E529E4"/>
    <w:rsid w:val="00E600D4"/>
    <w:rsid w:val="00E613A4"/>
    <w:rsid w:val="00E66314"/>
    <w:rsid w:val="00E820B7"/>
    <w:rsid w:val="00E83E69"/>
    <w:rsid w:val="00E84249"/>
    <w:rsid w:val="00E87D1F"/>
    <w:rsid w:val="00E970BC"/>
    <w:rsid w:val="00EC5C57"/>
    <w:rsid w:val="00EC732C"/>
    <w:rsid w:val="00EF698F"/>
    <w:rsid w:val="00EF743B"/>
    <w:rsid w:val="00EF7BDE"/>
    <w:rsid w:val="00F006BE"/>
    <w:rsid w:val="00F0328E"/>
    <w:rsid w:val="00F33B88"/>
    <w:rsid w:val="00F351A6"/>
    <w:rsid w:val="00F52FF0"/>
    <w:rsid w:val="00F55866"/>
    <w:rsid w:val="00F6054A"/>
    <w:rsid w:val="00F6206D"/>
    <w:rsid w:val="00F621D2"/>
    <w:rsid w:val="00F725CF"/>
    <w:rsid w:val="00F87146"/>
    <w:rsid w:val="00FA5DF3"/>
    <w:rsid w:val="00FB2E82"/>
    <w:rsid w:val="00FC2287"/>
    <w:rsid w:val="00FF37DB"/>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807A"/>
  <w15:chartTrackingRefBased/>
  <w15:docId w15:val="{E0535284-B01B-AE4E-9CD8-DE122CF0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3A4"/>
    <w:rPr>
      <w:color w:val="0563C1" w:themeColor="hyperlink"/>
      <w:u w:val="single"/>
    </w:rPr>
  </w:style>
  <w:style w:type="character" w:styleId="UnresolvedMention">
    <w:name w:val="Unresolved Mention"/>
    <w:basedOn w:val="DefaultParagraphFont"/>
    <w:uiPriority w:val="99"/>
    <w:semiHidden/>
    <w:unhideWhenUsed/>
    <w:rsid w:val="00E613A4"/>
    <w:rPr>
      <w:color w:val="605E5C"/>
      <w:shd w:val="clear" w:color="auto" w:fill="E1DFDD"/>
    </w:rPr>
  </w:style>
  <w:style w:type="paragraph" w:styleId="Header">
    <w:name w:val="header"/>
    <w:basedOn w:val="Normal"/>
    <w:link w:val="HeaderChar"/>
    <w:uiPriority w:val="99"/>
    <w:unhideWhenUsed/>
    <w:rsid w:val="00A37A2D"/>
    <w:pPr>
      <w:tabs>
        <w:tab w:val="center" w:pos="4680"/>
        <w:tab w:val="right" w:pos="9360"/>
      </w:tabs>
    </w:pPr>
  </w:style>
  <w:style w:type="character" w:customStyle="1" w:styleId="HeaderChar">
    <w:name w:val="Header Char"/>
    <w:basedOn w:val="DefaultParagraphFont"/>
    <w:link w:val="Header"/>
    <w:uiPriority w:val="99"/>
    <w:rsid w:val="00A37A2D"/>
  </w:style>
  <w:style w:type="character" w:styleId="PageNumber">
    <w:name w:val="page number"/>
    <w:basedOn w:val="DefaultParagraphFont"/>
    <w:uiPriority w:val="99"/>
    <w:semiHidden/>
    <w:unhideWhenUsed/>
    <w:rsid w:val="00A37A2D"/>
  </w:style>
  <w:style w:type="paragraph" w:styleId="ListParagraph">
    <w:name w:val="List Paragraph"/>
    <w:basedOn w:val="Normal"/>
    <w:uiPriority w:val="34"/>
    <w:qFormat/>
    <w:rsid w:val="005730D8"/>
    <w:pPr>
      <w:ind w:left="720"/>
      <w:contextualSpacing/>
    </w:pPr>
  </w:style>
  <w:style w:type="paragraph" w:styleId="NormalWeb">
    <w:name w:val="Normal (Web)"/>
    <w:basedOn w:val="Normal"/>
    <w:uiPriority w:val="99"/>
    <w:semiHidden/>
    <w:unhideWhenUsed/>
    <w:rsid w:val="00D34034"/>
    <w:rPr>
      <w:rFonts w:ascii="Times New Roman" w:hAnsi="Times New Roman" w:cs="Times New Roman"/>
    </w:rPr>
  </w:style>
  <w:style w:type="character" w:styleId="FollowedHyperlink">
    <w:name w:val="FollowedHyperlink"/>
    <w:basedOn w:val="DefaultParagraphFont"/>
    <w:uiPriority w:val="99"/>
    <w:semiHidden/>
    <w:unhideWhenUsed/>
    <w:rsid w:val="009712B7"/>
    <w:rPr>
      <w:color w:val="954F72" w:themeColor="followedHyperlink"/>
      <w:u w:val="single"/>
    </w:rPr>
  </w:style>
  <w:style w:type="paragraph" w:customStyle="1" w:styleId="mb-3">
    <w:name w:val="mb-3"/>
    <w:basedOn w:val="Normal"/>
    <w:rsid w:val="00B751A6"/>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82AA5"/>
    <w:pPr>
      <w:tabs>
        <w:tab w:val="center" w:pos="4680"/>
        <w:tab w:val="right" w:pos="9360"/>
      </w:tabs>
    </w:pPr>
  </w:style>
  <w:style w:type="character" w:customStyle="1" w:styleId="FooterChar">
    <w:name w:val="Footer Char"/>
    <w:basedOn w:val="DefaultParagraphFont"/>
    <w:link w:val="Footer"/>
    <w:uiPriority w:val="99"/>
    <w:rsid w:val="00682AA5"/>
  </w:style>
  <w:style w:type="character" w:styleId="Emphasis">
    <w:name w:val="Emphasis"/>
    <w:basedOn w:val="DefaultParagraphFont"/>
    <w:uiPriority w:val="20"/>
    <w:qFormat/>
    <w:rsid w:val="007744A4"/>
    <w:rPr>
      <w:i/>
      <w:iCs/>
    </w:rPr>
  </w:style>
  <w:style w:type="character" w:styleId="CommentReference">
    <w:name w:val="annotation reference"/>
    <w:basedOn w:val="DefaultParagraphFont"/>
    <w:uiPriority w:val="99"/>
    <w:semiHidden/>
    <w:unhideWhenUsed/>
    <w:rsid w:val="00A0075B"/>
    <w:rPr>
      <w:sz w:val="16"/>
      <w:szCs w:val="16"/>
    </w:rPr>
  </w:style>
  <w:style w:type="paragraph" w:styleId="CommentText">
    <w:name w:val="annotation text"/>
    <w:basedOn w:val="Normal"/>
    <w:link w:val="CommentTextChar"/>
    <w:uiPriority w:val="99"/>
    <w:unhideWhenUsed/>
    <w:rsid w:val="00A0075B"/>
    <w:rPr>
      <w:sz w:val="20"/>
      <w:szCs w:val="20"/>
    </w:rPr>
  </w:style>
  <w:style w:type="character" w:customStyle="1" w:styleId="CommentTextChar">
    <w:name w:val="Comment Text Char"/>
    <w:basedOn w:val="DefaultParagraphFont"/>
    <w:link w:val="CommentText"/>
    <w:uiPriority w:val="99"/>
    <w:rsid w:val="00A0075B"/>
    <w:rPr>
      <w:sz w:val="20"/>
      <w:szCs w:val="20"/>
    </w:rPr>
  </w:style>
  <w:style w:type="paragraph" w:styleId="CommentSubject">
    <w:name w:val="annotation subject"/>
    <w:basedOn w:val="CommentText"/>
    <w:next w:val="CommentText"/>
    <w:link w:val="CommentSubjectChar"/>
    <w:uiPriority w:val="99"/>
    <w:semiHidden/>
    <w:unhideWhenUsed/>
    <w:rsid w:val="00A0075B"/>
    <w:rPr>
      <w:b/>
      <w:bCs/>
    </w:rPr>
  </w:style>
  <w:style w:type="character" w:customStyle="1" w:styleId="CommentSubjectChar">
    <w:name w:val="Comment Subject Char"/>
    <w:basedOn w:val="CommentTextChar"/>
    <w:link w:val="CommentSubject"/>
    <w:uiPriority w:val="99"/>
    <w:semiHidden/>
    <w:rsid w:val="00A007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76167">
      <w:bodyDiv w:val="1"/>
      <w:marLeft w:val="0"/>
      <w:marRight w:val="0"/>
      <w:marTop w:val="0"/>
      <w:marBottom w:val="0"/>
      <w:divBdr>
        <w:top w:val="none" w:sz="0" w:space="0" w:color="auto"/>
        <w:left w:val="none" w:sz="0" w:space="0" w:color="auto"/>
        <w:bottom w:val="none" w:sz="0" w:space="0" w:color="auto"/>
        <w:right w:val="none" w:sz="0" w:space="0" w:color="auto"/>
      </w:divBdr>
    </w:div>
    <w:div w:id="400519744">
      <w:bodyDiv w:val="1"/>
      <w:marLeft w:val="0"/>
      <w:marRight w:val="0"/>
      <w:marTop w:val="0"/>
      <w:marBottom w:val="0"/>
      <w:divBdr>
        <w:top w:val="none" w:sz="0" w:space="0" w:color="auto"/>
        <w:left w:val="none" w:sz="0" w:space="0" w:color="auto"/>
        <w:bottom w:val="none" w:sz="0" w:space="0" w:color="auto"/>
        <w:right w:val="none" w:sz="0" w:space="0" w:color="auto"/>
      </w:divBdr>
      <w:divsChild>
        <w:div w:id="2013675171">
          <w:marLeft w:val="0"/>
          <w:marRight w:val="0"/>
          <w:marTop w:val="0"/>
          <w:marBottom w:val="0"/>
          <w:divBdr>
            <w:top w:val="none" w:sz="0" w:space="0" w:color="auto"/>
            <w:left w:val="none" w:sz="0" w:space="0" w:color="auto"/>
            <w:bottom w:val="none" w:sz="0" w:space="0" w:color="auto"/>
            <w:right w:val="none" w:sz="0" w:space="0" w:color="auto"/>
          </w:divBdr>
          <w:divsChild>
            <w:div w:id="46684766">
              <w:marLeft w:val="0"/>
              <w:marRight w:val="0"/>
              <w:marTop w:val="0"/>
              <w:marBottom w:val="0"/>
              <w:divBdr>
                <w:top w:val="none" w:sz="0" w:space="0" w:color="auto"/>
                <w:left w:val="none" w:sz="0" w:space="0" w:color="auto"/>
                <w:bottom w:val="none" w:sz="0" w:space="0" w:color="auto"/>
                <w:right w:val="none" w:sz="0" w:space="0" w:color="auto"/>
              </w:divBdr>
              <w:divsChild>
                <w:div w:id="118885146">
                  <w:marLeft w:val="0"/>
                  <w:marRight w:val="0"/>
                  <w:marTop w:val="0"/>
                  <w:marBottom w:val="0"/>
                  <w:divBdr>
                    <w:top w:val="none" w:sz="0" w:space="0" w:color="auto"/>
                    <w:left w:val="none" w:sz="0" w:space="0" w:color="auto"/>
                    <w:bottom w:val="none" w:sz="0" w:space="0" w:color="auto"/>
                    <w:right w:val="none" w:sz="0" w:space="0" w:color="auto"/>
                  </w:divBdr>
                  <w:divsChild>
                    <w:div w:id="358436272">
                      <w:marLeft w:val="0"/>
                      <w:marRight w:val="0"/>
                      <w:marTop w:val="0"/>
                      <w:marBottom w:val="0"/>
                      <w:divBdr>
                        <w:top w:val="none" w:sz="0" w:space="0" w:color="auto"/>
                        <w:left w:val="none" w:sz="0" w:space="0" w:color="auto"/>
                        <w:bottom w:val="none" w:sz="0" w:space="0" w:color="auto"/>
                        <w:right w:val="none" w:sz="0" w:space="0" w:color="auto"/>
                      </w:divBdr>
                    </w:div>
                  </w:divsChild>
                </w:div>
                <w:div w:id="784808130">
                  <w:marLeft w:val="0"/>
                  <w:marRight w:val="0"/>
                  <w:marTop w:val="0"/>
                  <w:marBottom w:val="0"/>
                  <w:divBdr>
                    <w:top w:val="none" w:sz="0" w:space="0" w:color="auto"/>
                    <w:left w:val="none" w:sz="0" w:space="0" w:color="auto"/>
                    <w:bottom w:val="none" w:sz="0" w:space="0" w:color="auto"/>
                    <w:right w:val="none" w:sz="0" w:space="0" w:color="auto"/>
                  </w:divBdr>
                  <w:divsChild>
                    <w:div w:id="467824289">
                      <w:marLeft w:val="0"/>
                      <w:marRight w:val="0"/>
                      <w:marTop w:val="0"/>
                      <w:marBottom w:val="0"/>
                      <w:divBdr>
                        <w:top w:val="none" w:sz="0" w:space="0" w:color="auto"/>
                        <w:left w:val="none" w:sz="0" w:space="0" w:color="auto"/>
                        <w:bottom w:val="none" w:sz="0" w:space="0" w:color="auto"/>
                        <w:right w:val="none" w:sz="0" w:space="0" w:color="auto"/>
                      </w:divBdr>
                      <w:divsChild>
                        <w:div w:id="1165975739">
                          <w:marLeft w:val="0"/>
                          <w:marRight w:val="0"/>
                          <w:marTop w:val="0"/>
                          <w:marBottom w:val="0"/>
                          <w:divBdr>
                            <w:top w:val="none" w:sz="0" w:space="0" w:color="auto"/>
                            <w:left w:val="none" w:sz="0" w:space="0" w:color="auto"/>
                            <w:bottom w:val="none" w:sz="0" w:space="0" w:color="auto"/>
                            <w:right w:val="none" w:sz="0" w:space="0" w:color="auto"/>
                          </w:divBdr>
                          <w:divsChild>
                            <w:div w:id="18129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8062">
      <w:bodyDiv w:val="1"/>
      <w:marLeft w:val="0"/>
      <w:marRight w:val="0"/>
      <w:marTop w:val="0"/>
      <w:marBottom w:val="0"/>
      <w:divBdr>
        <w:top w:val="none" w:sz="0" w:space="0" w:color="auto"/>
        <w:left w:val="none" w:sz="0" w:space="0" w:color="auto"/>
        <w:bottom w:val="none" w:sz="0" w:space="0" w:color="auto"/>
        <w:right w:val="none" w:sz="0" w:space="0" w:color="auto"/>
      </w:divBdr>
    </w:div>
    <w:div w:id="1009482003">
      <w:bodyDiv w:val="1"/>
      <w:marLeft w:val="0"/>
      <w:marRight w:val="0"/>
      <w:marTop w:val="0"/>
      <w:marBottom w:val="0"/>
      <w:divBdr>
        <w:top w:val="none" w:sz="0" w:space="0" w:color="auto"/>
        <w:left w:val="none" w:sz="0" w:space="0" w:color="auto"/>
        <w:bottom w:val="none" w:sz="0" w:space="0" w:color="auto"/>
        <w:right w:val="none" w:sz="0" w:space="0" w:color="auto"/>
      </w:divBdr>
    </w:div>
    <w:div w:id="1049457401">
      <w:bodyDiv w:val="1"/>
      <w:marLeft w:val="0"/>
      <w:marRight w:val="0"/>
      <w:marTop w:val="0"/>
      <w:marBottom w:val="0"/>
      <w:divBdr>
        <w:top w:val="none" w:sz="0" w:space="0" w:color="auto"/>
        <w:left w:val="none" w:sz="0" w:space="0" w:color="auto"/>
        <w:bottom w:val="none" w:sz="0" w:space="0" w:color="auto"/>
        <w:right w:val="none" w:sz="0" w:space="0" w:color="auto"/>
      </w:divBdr>
      <w:divsChild>
        <w:div w:id="1129132764">
          <w:marLeft w:val="0"/>
          <w:marRight w:val="0"/>
          <w:marTop w:val="0"/>
          <w:marBottom w:val="0"/>
          <w:divBdr>
            <w:top w:val="none" w:sz="0" w:space="0" w:color="auto"/>
            <w:left w:val="none" w:sz="0" w:space="0" w:color="auto"/>
            <w:bottom w:val="none" w:sz="0" w:space="0" w:color="auto"/>
            <w:right w:val="none" w:sz="0" w:space="0" w:color="auto"/>
          </w:divBdr>
          <w:divsChild>
            <w:div w:id="1250845368">
              <w:marLeft w:val="0"/>
              <w:marRight w:val="0"/>
              <w:marTop w:val="0"/>
              <w:marBottom w:val="0"/>
              <w:divBdr>
                <w:top w:val="none" w:sz="0" w:space="0" w:color="auto"/>
                <w:left w:val="none" w:sz="0" w:space="0" w:color="auto"/>
                <w:bottom w:val="none" w:sz="0" w:space="0" w:color="auto"/>
                <w:right w:val="none" w:sz="0" w:space="0" w:color="auto"/>
              </w:divBdr>
              <w:divsChild>
                <w:div w:id="637295905">
                  <w:marLeft w:val="0"/>
                  <w:marRight w:val="0"/>
                  <w:marTop w:val="0"/>
                  <w:marBottom w:val="0"/>
                  <w:divBdr>
                    <w:top w:val="none" w:sz="0" w:space="0" w:color="auto"/>
                    <w:left w:val="none" w:sz="0" w:space="0" w:color="auto"/>
                    <w:bottom w:val="none" w:sz="0" w:space="0" w:color="auto"/>
                    <w:right w:val="none" w:sz="0" w:space="0" w:color="auto"/>
                  </w:divBdr>
                </w:div>
                <w:div w:id="16410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2311">
      <w:bodyDiv w:val="1"/>
      <w:marLeft w:val="0"/>
      <w:marRight w:val="0"/>
      <w:marTop w:val="0"/>
      <w:marBottom w:val="0"/>
      <w:divBdr>
        <w:top w:val="none" w:sz="0" w:space="0" w:color="auto"/>
        <w:left w:val="none" w:sz="0" w:space="0" w:color="auto"/>
        <w:bottom w:val="none" w:sz="0" w:space="0" w:color="auto"/>
        <w:right w:val="none" w:sz="0" w:space="0" w:color="auto"/>
      </w:divBdr>
    </w:div>
    <w:div w:id="1531994967">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sChild>
        <w:div w:id="1316494835">
          <w:marLeft w:val="0"/>
          <w:marRight w:val="0"/>
          <w:marTop w:val="0"/>
          <w:marBottom w:val="0"/>
          <w:divBdr>
            <w:top w:val="none" w:sz="0" w:space="0" w:color="auto"/>
            <w:left w:val="none" w:sz="0" w:space="0" w:color="auto"/>
            <w:bottom w:val="none" w:sz="0" w:space="0" w:color="auto"/>
            <w:right w:val="none" w:sz="0" w:space="0" w:color="auto"/>
          </w:divBdr>
        </w:div>
      </w:divsChild>
    </w:div>
    <w:div w:id="1975984399">
      <w:bodyDiv w:val="1"/>
      <w:marLeft w:val="0"/>
      <w:marRight w:val="0"/>
      <w:marTop w:val="0"/>
      <w:marBottom w:val="0"/>
      <w:divBdr>
        <w:top w:val="none" w:sz="0" w:space="0" w:color="auto"/>
        <w:left w:val="none" w:sz="0" w:space="0" w:color="auto"/>
        <w:bottom w:val="none" w:sz="0" w:space="0" w:color="auto"/>
        <w:right w:val="none" w:sz="0" w:space="0" w:color="auto"/>
      </w:divBdr>
    </w:div>
    <w:div w:id="2132245471">
      <w:bodyDiv w:val="1"/>
      <w:marLeft w:val="0"/>
      <w:marRight w:val="0"/>
      <w:marTop w:val="0"/>
      <w:marBottom w:val="0"/>
      <w:divBdr>
        <w:top w:val="none" w:sz="0" w:space="0" w:color="auto"/>
        <w:left w:val="none" w:sz="0" w:space="0" w:color="auto"/>
        <w:bottom w:val="none" w:sz="0" w:space="0" w:color="auto"/>
        <w:right w:val="none" w:sz="0" w:space="0" w:color="auto"/>
      </w:divBdr>
      <w:divsChild>
        <w:div w:id="5133577">
          <w:marLeft w:val="0"/>
          <w:marRight w:val="0"/>
          <w:marTop w:val="0"/>
          <w:marBottom w:val="0"/>
          <w:divBdr>
            <w:top w:val="none" w:sz="0" w:space="0" w:color="auto"/>
            <w:left w:val="none" w:sz="0" w:space="0" w:color="auto"/>
            <w:bottom w:val="none" w:sz="0" w:space="0" w:color="auto"/>
            <w:right w:val="none" w:sz="0" w:space="0" w:color="auto"/>
          </w:divBdr>
        </w:div>
        <w:div w:id="1561867164">
          <w:marLeft w:val="0"/>
          <w:marRight w:val="0"/>
          <w:marTop w:val="0"/>
          <w:marBottom w:val="0"/>
          <w:divBdr>
            <w:top w:val="none" w:sz="0" w:space="0" w:color="auto"/>
            <w:left w:val="none" w:sz="0" w:space="0" w:color="auto"/>
            <w:bottom w:val="none" w:sz="0" w:space="0" w:color="auto"/>
            <w:right w:val="none" w:sz="0" w:space="0" w:color="auto"/>
          </w:divBdr>
        </w:div>
        <w:div w:id="2707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doi.org/10.26077/sryb-7h95" TargetMode="External"/><Relationship Id="rId26" Type="http://schemas.openxmlformats.org/officeDocument/2006/relationships/hyperlink" Target="https://lincolnmichel.wordpress.com/2014/04/19/maslows-hierarchy-connected-to-blackfoot-beliefs/" TargetMode="External"/><Relationship Id="rId21" Type="http://schemas.openxmlformats.org/officeDocument/2006/relationships/hyperlink" Target="https://doi.org/10.26077/2en0-661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www.sshrc-crsh.gc.ca/society-societe/stories-histoires/story-histoire-eng.aspx?story_id=91"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isuma.tv/%E1%90%83%E1%93%84%E1%92%83%E1%91%8E%E1%91%90%E1%91%A6/arnaitvideo/charlie-pisuk" TargetMode="External"/><Relationship Id="rId29" Type="http://schemas.openxmlformats.org/officeDocument/2006/relationships/hyperlink" Target="https://doi.org/10.3402/ijch.v72i0.209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1037/hum0000145" TargetMode="External"/><Relationship Id="rId32" Type="http://schemas.openxmlformats.org/officeDocument/2006/relationships/hyperlink" Target="http://www.gjcpp.org/en/resource.php?issue=8&amp;resource=69"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digitallibrary.uleth.ca/digital/collection/bdl/id/1296/" TargetMode="External"/><Relationship Id="rId28" Type="http://schemas.openxmlformats.org/officeDocument/2006/relationships/hyperlink" Target="http://www.gjcpp.org/en/resource.php?issue=8&amp;resource=66"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80/07347324.2020.1741330" TargetMode="External"/><Relationship Id="rId31" Type="http://schemas.openxmlformats.org/officeDocument/2006/relationships/hyperlink" Target="http://www.gjcpp.org/en/resource.php?issue=8&amp;resource=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www.jstor.org/stable/677570" TargetMode="External"/><Relationship Id="rId27" Type="http://schemas.openxmlformats.org/officeDocument/2006/relationships/hyperlink" Target="https://psycnet.apa.org/doi/10.1037/hum0000145" TargetMode="External"/><Relationship Id="rId30" Type="http://schemas.openxmlformats.org/officeDocument/2006/relationships/hyperlink" Target="https://doi.org/10.1002/(SICI)1520-6629(199803)26:2%3c163::AID-JCOP5%3e3.0.CO;2-Y"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7541921F99484090A009AEB8B55D93" ma:contentTypeVersion="20" ma:contentTypeDescription="Create a new document." ma:contentTypeScope="" ma:versionID="6d59cfbac1ccde829e71d115b7772080">
  <xsd:schema xmlns:xsd="http://www.w3.org/2001/XMLSchema" xmlns:xs="http://www.w3.org/2001/XMLSchema" xmlns:p="http://schemas.microsoft.com/office/2006/metadata/properties" xmlns:ns2="41076929-c050-49f9-83ad-33557c6a5445" xmlns:ns3="7bb21175-b2c7-4719-a6b5-c71d8ec81980" targetNamespace="http://schemas.microsoft.com/office/2006/metadata/properties" ma:root="true" ma:fieldsID="2f0d4071a3d17ca06899460f3a43afbd" ns2:_="" ns3:_="">
    <xsd:import namespace="41076929-c050-49f9-83ad-33557c6a5445"/>
    <xsd:import namespace="7bb21175-b2c7-4719-a6b5-c71d8ec8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Image" minOccurs="0"/>
                <xsd:element ref="ns2:MediaLengthInSeconds" minOccurs="0"/>
                <xsd:element ref="ns2:Edit_x0020_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929-c050-49f9-83ad-33557c6a5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mage" ma:index="20"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Edit_x0020_date" ma:index="22" nillable="true" ma:displayName="Edit date" ma:description="Edited date" ma:internalName="Edit_x0020_date">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21175-b2c7-4719-a6b5-c71d8ec819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8d9a9d-eb16-49a2-b586-614f329682ab}" ma:internalName="TaxCatchAll" ma:showField="CatchAllData" ma:web="7bb21175-b2c7-4719-a6b5-c71d8ec8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 xmlns="41076929-c050-49f9-83ad-33557c6a5445">
      <Url xsi:nil="true"/>
      <Description xsi:nil="true"/>
    </Image>
    <TaxCatchAll xmlns="7bb21175-b2c7-4719-a6b5-c71d8ec81980" xsi:nil="true"/>
    <lcf76f155ced4ddcb4097134ff3c332f xmlns="41076929-c050-49f9-83ad-33557c6a5445">
      <Terms xmlns="http://schemas.microsoft.com/office/infopath/2007/PartnerControls"/>
    </lcf76f155ced4ddcb4097134ff3c332f>
    <Edit_x0020_date xmlns="41076929-c050-49f9-83ad-33557c6a5445" xsi:nil="true"/>
  </documentManagement>
</p:properties>
</file>

<file path=customXml/itemProps1.xml><?xml version="1.0" encoding="utf-8"?>
<ds:datastoreItem xmlns:ds="http://schemas.openxmlformats.org/officeDocument/2006/customXml" ds:itemID="{9E8A4C80-AB8E-7E47-B159-E1034D5D1876}">
  <ds:schemaRefs>
    <ds:schemaRef ds:uri="http://schemas.openxmlformats.org/officeDocument/2006/bibliography"/>
  </ds:schemaRefs>
</ds:datastoreItem>
</file>

<file path=customXml/itemProps2.xml><?xml version="1.0" encoding="utf-8"?>
<ds:datastoreItem xmlns:ds="http://schemas.openxmlformats.org/officeDocument/2006/customXml" ds:itemID="{1588704A-324F-4602-A965-48B7CE6CA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76929-c050-49f9-83ad-33557c6a5445"/>
    <ds:schemaRef ds:uri="7bb21175-b2c7-4719-a6b5-c71d8ec8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61188-F4FE-44DB-A8FC-92CD7424799A}">
  <ds:schemaRefs>
    <ds:schemaRef ds:uri="http://schemas.microsoft.com/sharepoint/v3/contenttype/forms"/>
  </ds:schemaRefs>
</ds:datastoreItem>
</file>

<file path=customXml/itemProps4.xml><?xml version="1.0" encoding="utf-8"?>
<ds:datastoreItem xmlns:ds="http://schemas.openxmlformats.org/officeDocument/2006/customXml" ds:itemID="{EF36EC15-53BF-4439-865B-7E4F2D536F72}">
  <ds:schemaRefs>
    <ds:schemaRef ds:uri="http://schemas.microsoft.com/office/2006/metadata/properties"/>
    <ds:schemaRef ds:uri="http://schemas.microsoft.com/office/infopath/2007/PartnerControls"/>
    <ds:schemaRef ds:uri="41076929-c050-49f9-83ad-33557c6a5445"/>
    <ds:schemaRef ds:uri="7bb21175-b2c7-4719-a6b5-c71d8ec81980"/>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Trimble</dc:creator>
  <cp:keywords/>
  <dc:description/>
  <cp:lastModifiedBy>Tony Pankuch</cp:lastModifiedBy>
  <cp:revision>96</cp:revision>
  <dcterms:created xsi:type="dcterms:W3CDTF">2024-05-03T18:04:00Z</dcterms:created>
  <dcterms:modified xsi:type="dcterms:W3CDTF">2024-05-07T20:51:00Z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0x010100057541921F99484090A009AEB8B55D93</vt:lpwstr>
  </property>
  <property fmtid="{D5CDD505-2E9C-101B-9397-08002B2CF9AE}" pid="3" name="MediaServiceImageTags">
    <vt:lpwstr/>
  </property>
</Properties>
</file>